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40"/>
        <w:jc w:val="center"/>
      </w:pPr>
      <w:r>
        <w:rPr>
          <w:rFonts w:ascii="Times New Roman" w:hAnsi="Times New Roman"/>
          <w:b/>
          <w:color w:val="000000"/>
          <w:sz w:val="28"/>
        </w:rPr>
        <w:t>AGREEMENT AND PLAN OF MERGER</w:t>
      </w:r>
    </w:p>
    <w:p>
      <w:pPr>
        <w:spacing w:line="480" w:lineRule="auto" w:after="0"/>
        <w:ind w:firstLine="720"/>
        <w:jc w:val="left"/>
      </w:pPr>
      <w:r>
        <w:rPr>
          <w:rFonts w:ascii="Times New Roman" w:hAnsi="Times New Roman"/>
          <w:b w:val="0"/>
          <w:color w:val="000000"/>
          <w:sz w:val="24"/>
        </w:rPr>
        <w:t>This Agreement and Plan of Merger is made as of [date] by and among [Parent], [Merger Sub], and the Target.</w:t>
      </w:r>
    </w:p>
    <w:p>
      <w:pPr>
        <w:spacing w:line="360" w:lineRule="auto" w:after="120"/>
        <w:jc w:val="left"/>
      </w:pPr>
      <w:r>
        <w:rPr>
          <w:rFonts w:ascii="Times New Roman" w:hAnsi="Times New Roman"/>
          <w:b/>
          <w:color w:val="000000"/>
          <w:sz w:val="24"/>
        </w:rPr>
        <w:t>Article I — The Merger</w:t>
      </w:r>
    </w:p>
    <w:p>
      <w:pPr>
        <w:spacing w:line="480" w:lineRule="auto" w:after="0"/>
        <w:ind w:firstLine="720"/>
        <w:jc w:val="left"/>
      </w:pPr>
      <w:r>
        <w:rPr>
          <w:rFonts w:ascii="Times New Roman" w:hAnsi="Times New Roman"/>
          <w:b w:val="0"/>
          <w:color w:val="000000"/>
          <w:sz w:val="24"/>
        </w:rPr>
        <w:t>Section 1.01 At the Effective Time, Merger Sub shall merge with and into Target, with Target as the surviving corporation, in accordance with the Delaware General Corporation Law (8 Del. C. § 251).</w:t>
      </w:r>
    </w:p>
    <w:p>
      <w:pPr>
        <w:spacing w:line="360" w:lineRule="auto" w:after="120"/>
        <w:jc w:val="left"/>
      </w:pPr>
      <w:r>
        <w:rPr>
          <w:rFonts w:ascii="Times New Roman" w:hAnsi="Times New Roman"/>
          <w:b/>
          <w:color w:val="000000"/>
          <w:sz w:val="24"/>
        </w:rPr>
        <w:t>Article II — Conversion of Securities</w:t>
      </w:r>
    </w:p>
    <w:p>
      <w:pPr>
        <w:spacing w:line="480" w:lineRule="auto" w:after="0"/>
        <w:ind w:firstLine="720"/>
        <w:jc w:val="left"/>
      </w:pPr>
      <w:r>
        <w:rPr>
          <w:rFonts w:ascii="Times New Roman" w:hAnsi="Times New Roman"/>
          <w:b w:val="0"/>
          <w:color w:val="000000"/>
          <w:sz w:val="24"/>
        </w:rPr>
        <w:t>Section 2.01 Each share of Target Common Stock shall be converted into the right to receive the Merger Consideration.</w:t>
      </w:r>
    </w:p>
    <w:p>
      <w:pPr>
        <w:spacing w:line="360" w:lineRule="auto" w:after="120"/>
        <w:jc w:val="left"/>
      </w:pPr>
      <w:r>
        <w:rPr>
          <w:rFonts w:ascii="Times New Roman" w:hAnsi="Times New Roman"/>
          <w:b/>
          <w:color w:val="000000"/>
          <w:sz w:val="24"/>
        </w:rPr>
        <w:t>Article III — Conditions to the Merger</w:t>
      </w:r>
    </w:p>
    <w:p>
      <w:pPr>
        <w:spacing w:line="480" w:lineRule="auto" w:after="0"/>
        <w:ind w:firstLine="720"/>
        <w:jc w:val="left"/>
      </w:pPr>
      <w:r>
        <w:rPr>
          <w:rFonts w:ascii="Times New Roman" w:hAnsi="Times New Roman"/>
          <w:b w:val="0"/>
          <w:color w:val="000000"/>
          <w:sz w:val="24"/>
        </w:rPr>
        <w:t>Section 3.01 The Merger is subject to (a) stockholder approval, (b) HSR expiration, (c) absence of MAE.</w:t>
      </w:r>
    </w:p>
    <w:p>
      <w:pPr>
        <w:spacing w:line="360" w:lineRule="auto" w:after="120"/>
        <w:jc w:val="left"/>
      </w:pPr>
      <w:r>
        <w:rPr>
          <w:rFonts w:ascii="Times New Roman" w:hAnsi="Times New Roman"/>
          <w:b/>
          <w:color w:val="000000"/>
          <w:sz w:val="24"/>
        </w:rPr>
        <w:t>Article IV — Termination</w:t>
      </w:r>
    </w:p>
    <w:p>
      <w:pPr>
        <w:spacing w:line="480" w:lineRule="auto" w:after="0"/>
        <w:ind w:firstLine="720"/>
        <w:jc w:val="left"/>
      </w:pPr>
      <w:r>
        <w:rPr>
          <w:rFonts w:ascii="Times New Roman" w:hAnsi="Times New Roman"/>
          <w:b w:val="0"/>
          <w:color w:val="000000"/>
          <w:sz w:val="24"/>
        </w:rPr>
        <w:t>Section 4.01 This Agreement may be terminated upon the occurrence of any event in Article IV; reverse termination fee: US$[amount].</w:t>
      </w:r>
    </w:p>
    <w:p>
      <w:pPr>
        <w:spacing w:line="360" w:lineRule="auto" w:after="120"/>
        <w:jc w:val="left"/>
      </w:pPr>
      <w:r>
        <w:rPr>
          <w:rFonts w:ascii="Times New Roman" w:hAnsi="Times New Roman"/>
          <w:b/>
          <w:color w:val="000000"/>
          <w:sz w:val="24"/>
        </w:rPr>
        <w:t>Article V — Governing Law</w:t>
      </w:r>
    </w:p>
    <w:p>
      <w:pPr>
        <w:spacing w:line="480" w:lineRule="auto" w:after="0"/>
        <w:ind w:firstLine="720"/>
        <w:jc w:val="left"/>
      </w:pPr>
      <w:r>
        <w:rPr>
          <w:rFonts w:ascii="Times New Roman" w:hAnsi="Times New Roman"/>
          <w:b w:val="0"/>
          <w:color w:val="000000"/>
          <w:sz w:val="24"/>
        </w:rPr>
        <w:t>Section 5.01 This Agreement is governed by the laws of the State of Delaware.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