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STOCKHOLDERS AGREEMENT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Stockholders Agreement is made as of [date] by and among the Company and the Stockholders listed on Schedule A.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 — Board Composition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1.01 The Board shall consist of [n] directors, of whom the Investor is entitled to designate [n].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 — Transfer Restrictions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2.01 Right of First Refusal, Tag-Along, Drag-Along apply per the terms of this Article.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III — Information Rights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3.01 Major Investors shall receive quarterly unaudited financials and annual audited financials.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IV — Protective Provisions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4.01 Without Investor consent, the Company shall not [list].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Article V —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Section 5.01 This Agreement is governed by the laws of the State of Delaware.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