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药忆——AI拍照用药助手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创作说明</w:t>
      </w:r>
    </w:p>
    <w:p>
      <w:pPr>
        <w:spacing w:after="28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JDXplorers“未来青少年AI探索者计划”参赛作品 · AI原点赛道</w:t>
      </w:r>
    </w:p>
    <w:p>
      <w:pPr>
        <w:spacing w:line="360" w:lineRule="auto" w:before="0" w:after="80"/>
        <w:ind w:firstLine="480"/>
      </w:pPr>
      <w:r>
        <w:rPr>
          <w:rFonts w:ascii="Times New Roman" w:hAnsi="Times New Roman" w:eastAsia="黑体"/>
          <w:b/>
          <w:color w:val="000000"/>
          <w:sz w:val="24"/>
        </w:rPr>
        <w:t>【创意】</w:t>
      </w:r>
      <w:r>
        <w:rPr>
          <w:rFonts w:ascii="Times New Roman" w:hAnsi="Times New Roman" w:eastAsia="宋体"/>
          <w:b w:val="0"/>
          <w:color w:val="000000"/>
          <w:sz w:val="24"/>
        </w:rPr>
        <w:t>我国阿尔茨海默病等痴呆患者1699万，近一年用药错误超半数，漏服率49.6%、错服率18.7%。核心障碍是“记不住”，普通用药App只是“闹钟”，药忆是“懂AD患者的AI照护搭档”。</w:t>
      </w:r>
    </w:p>
    <w:p>
      <w:pPr>
        <w:spacing w:line="360" w:lineRule="auto" w:before="0" w:after="80"/>
        <w:ind w:firstLine="480"/>
      </w:pPr>
      <w:r>
        <w:rPr>
          <w:rFonts w:ascii="Times New Roman" w:hAnsi="Times New Roman" w:eastAsia="黑体"/>
          <w:b/>
          <w:color w:val="000000"/>
          <w:sz w:val="24"/>
        </w:rPr>
        <w:t>【用户】</w:t>
      </w:r>
      <w:r>
        <w:rPr>
          <w:rFonts w:ascii="Times New Roman" w:hAnsi="Times New Roman" w:eastAsia="宋体"/>
          <w:b w:val="0"/>
          <w:color w:val="000000"/>
          <w:sz w:val="24"/>
        </w:rPr>
        <w:t>双用户模型：患者端服务轻中度AD老人，极简拍照、大字慢速语音；家属端供子女护工远程守护。约80%患者居家照护，家属高频使用并付费。</w:t>
      </w:r>
    </w:p>
    <w:p>
      <w:pPr>
        <w:spacing w:line="360" w:lineRule="auto" w:before="0" w:after="80"/>
        <w:ind w:firstLine="480"/>
      </w:pPr>
      <w:r>
        <w:rPr>
          <w:rFonts w:ascii="Times New Roman" w:hAnsi="Times New Roman" w:eastAsia="黑体"/>
          <w:b/>
          <w:color w:val="000000"/>
          <w:sz w:val="24"/>
        </w:rPr>
        <w:t>【场景】</w:t>
      </w:r>
      <w:r>
        <w:rPr>
          <w:rFonts w:ascii="Times New Roman" w:hAnsi="Times New Roman" w:eastAsia="宋体"/>
          <w:b w:val="0"/>
          <w:color w:val="000000"/>
          <w:sz w:val="24"/>
        </w:rPr>
        <w:t>老人独居在家面对多种药，忘记是否已服，易重复服、漏服与冲突，家属在外无法确认。</w:t>
      </w:r>
    </w:p>
    <w:p>
      <w:pPr>
        <w:spacing w:line="360" w:lineRule="auto" w:before="0" w:after="80"/>
        <w:ind w:firstLine="480"/>
      </w:pPr>
      <w:r>
        <w:rPr>
          <w:rFonts w:ascii="Times New Roman" w:hAnsi="Times New Roman" w:eastAsia="黑体"/>
          <w:b/>
          <w:color w:val="000000"/>
          <w:sz w:val="24"/>
        </w:rPr>
        <w:t>【功能】</w:t>
      </w:r>
      <w:r>
        <w:rPr>
          <w:rFonts w:ascii="Times New Roman" w:hAnsi="Times New Roman" w:eastAsia="宋体"/>
          <w:b w:val="0"/>
          <w:color w:val="000000"/>
          <w:sz w:val="24"/>
        </w:rPr>
        <w:t>拍照识药，语音回答“一天几次、何时吃、饭前饭后、有何禁忌”四问；防重复警告；规则加AI双通道查冲突；AI用药问答；家属实时接收服药、求助、日报；离线可用。</w:t>
      </w:r>
    </w:p>
    <w:p>
      <w:pPr>
        <w:spacing w:line="360" w:lineRule="auto" w:before="0" w:after="80"/>
        <w:ind w:firstLine="480"/>
      </w:pPr>
      <w:r>
        <w:rPr>
          <w:rFonts w:ascii="Times New Roman" w:hAnsi="Times New Roman" w:eastAsia="黑体"/>
          <w:b/>
          <w:color w:val="000000"/>
          <w:sz w:val="24"/>
        </w:rPr>
        <w:t>【技术】</w:t>
      </w:r>
      <w:r>
        <w:rPr>
          <w:rFonts w:ascii="Times New Roman" w:hAnsi="Times New Roman" w:eastAsia="宋体"/>
          <w:b w:val="0"/>
          <w:color w:val="000000"/>
          <w:sz w:val="24"/>
        </w:rPr>
        <w:t>H5部署于EdgeOne Pages，边缘函数用多模态大模型识药、问答、分析，Redis存账号事件，密码哈希加盐防爆破。</w:t>
      </w:r>
    </w:p>
    <w:p>
      <w:pPr>
        <w:spacing w:line="360" w:lineRule="auto" w:before="0" w:after="80"/>
        <w:ind w:firstLine="480"/>
      </w:pPr>
      <w:r>
        <w:rPr>
          <w:rFonts w:ascii="Times New Roman" w:hAnsi="Times New Roman" w:eastAsia="黑体"/>
          <w:b/>
          <w:color w:val="000000"/>
          <w:sz w:val="24"/>
        </w:rPr>
        <w:t>【可行性】</w:t>
      </w:r>
      <w:r>
        <w:rPr>
          <w:rFonts w:ascii="Times New Roman" w:hAnsi="Times New Roman" w:eastAsia="宋体"/>
          <w:b w:val="0"/>
          <w:color w:val="000000"/>
          <w:sz w:val="24"/>
        </w:rPr>
        <w:t>已上线试用，内置50种老年常用药，三级匹配抑制AI幻觉，密钥服务端注入；免安装扫码即用，便于社区及机构推广。</w:t>
      </w:r>
    </w:p>
    <w:p>
      <w:pPr>
        <w:spacing w:line="360" w:lineRule="auto" w:before="0" w:after="80"/>
        <w:ind w:firstLine="480"/>
      </w:pPr>
      <w:r>
        <w:rPr>
          <w:rFonts w:ascii="Times New Roman" w:hAnsi="Times New Roman" w:eastAsia="黑体"/>
          <w:b/>
          <w:color w:val="000000"/>
          <w:sz w:val="24"/>
        </w:rPr>
        <w:t>【商业化】</w:t>
      </w:r>
      <w:r>
        <w:rPr>
          <w:rFonts w:ascii="Times New Roman" w:hAnsi="Times New Roman" w:eastAsia="宋体"/>
          <w:b w:val="0"/>
          <w:color w:val="000000"/>
          <w:sz w:val="24"/>
        </w:rPr>
        <w:t>B2B2C：向养老院、社区卫生中心、保险公司做机构订阅，辅以家属增值；银发经济超9万亿、适老智能赛道增速25%，契合《应对老年期痴呆国家行动计划》。</w:t>
      </w:r>
    </w:p>
    <w:p>
      <w:pPr>
        <w:spacing w:before="200" w:after="40"/>
      </w:pPr>
      <w:r>
        <w:rPr>
          <w:rFonts w:ascii="Times New Roman" w:hAnsi="Times New Roman" w:eastAsia="黑体"/>
          <w:b/>
          <w:color w:val="000000"/>
          <w:sz w:val="21"/>
        </w:rPr>
        <w:t>数据来源</w:t>
      </w:r>
    </w:p>
    <w:p>
      <w:pPr>
        <w:spacing w:line="288" w:lineRule="auto" w:after="0"/>
      </w:pPr>
      <w:r>
        <w:rPr>
          <w:rFonts w:ascii="Times New Roman" w:hAnsi="Times New Roman" w:eastAsia="宋体"/>
          <w:b w:val="0"/>
          <w:color w:val="000000"/>
          <w:sz w:val="21"/>
        </w:rPr>
        <w:t>［1］《中国阿尔茨海默病报告2024》，上海交通大学医学院附属仁济医院牵头，2024年。</w:t>
      </w:r>
    </w:p>
    <w:p>
      <w:pPr>
        <w:spacing w:line="288" w:lineRule="auto" w:after="0"/>
      </w:pPr>
      <w:r>
        <w:rPr>
          <w:rFonts w:ascii="Times New Roman" w:hAnsi="Times New Roman" w:eastAsia="宋体"/>
          <w:b w:val="0"/>
          <w:color w:val="000000"/>
          <w:sz w:val="21"/>
        </w:rPr>
        <w:t>［2］《阿尔茨海默病患者安全调查报告》，中国老年保健协会等，2025年9月。</w:t>
      </w:r>
    </w:p>
    <w:p>
      <w:pPr>
        <w:spacing w:line="288" w:lineRule="auto" w:after="0"/>
      </w:pPr>
      <w:r>
        <w:rPr>
          <w:rFonts w:ascii="Times New Roman" w:hAnsi="Times New Roman" w:eastAsia="宋体"/>
          <w:b w:val="0"/>
          <w:color w:val="000000"/>
          <w:sz w:val="21"/>
        </w:rPr>
        <w:t>［3］Care burden on family caregivers of patients with dementia in China: A systematic review，Frontiers in Psychiatry，2022年。</w:t>
      </w:r>
    </w:p>
    <w:p>
      <w:pPr>
        <w:spacing w:line="288" w:lineRule="auto" w:after="0"/>
      </w:pPr>
      <w:r>
        <w:rPr>
          <w:rFonts w:ascii="Times New Roman" w:hAnsi="Times New Roman" w:eastAsia="宋体"/>
          <w:b w:val="0"/>
          <w:color w:val="000000"/>
          <w:sz w:val="21"/>
        </w:rPr>
        <w:t>［4］《银发经济蓝皮书——中国银发经济发展报告（2025）》；人民网《年轻子女代际消费推动智慧养老》，2026年。</w:t>
      </w:r>
    </w:p>
    <w:p>
      <w:pPr>
        <w:spacing w:line="288" w:lineRule="auto" w:after="0"/>
      </w:pPr>
      <w:r>
        <w:rPr>
          <w:rFonts w:ascii="Times New Roman" w:hAnsi="Times New Roman" w:eastAsia="宋体"/>
          <w:b w:val="0"/>
          <w:color w:val="000000"/>
          <w:sz w:val="21"/>
        </w:rPr>
        <w:t>［5］《应对老年期痴呆国家行动计划（2024—2030年）》，国家卫生健康委等15部门，2024年。</w:t>
      </w:r>
    </w:p>
    <w:p>
      <w:pPr>
        <w:spacing w:before="160"/>
      </w:pPr>
      <w:r>
        <w:rPr>
          <w:rFonts w:ascii="Times New Roman" w:hAnsi="Times New Roman" w:eastAsia="宋体"/>
          <w:b w:val="0"/>
          <w:color w:val="000000"/>
          <w:sz w:val="21"/>
        </w:rPr>
        <w:t>注：本作品为参赛原型，药品信息仅供参考，不构成医疗建议，实际用药请遵医嘱。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