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1200"/>
      </w:pPr>
      <w:r>
        <w:rPr>
          <w:b/>
          <w:bCs/>
          <w:color w:val="E0745A"/>
          <w:sz w:val="22"/>
          <w:szCs w:val="22"/>
        </w:rPr>
        <w:t xml:space="preserve">FUTURA REMIX HACKATHON</w:t>
      </w:r>
    </w:p>
    <w:p>
      <w:pPr>
        <w:spacing w:after="200"/>
      </w:pPr>
      <w:r>
        <w:rPr>
          <w:b/>
          <w:bCs/>
          <w:color w:val="1F5C57"/>
          <w:sz w:val="56"/>
          <w:szCs w:val="56"/>
        </w:rPr>
        <w:t xml:space="preserve">Skill Bridge</w:t>
      </w:r>
    </w:p>
    <w:p>
      <w:pPr>
        <w:spacing w:after="400"/>
      </w:pPr>
      <w:r>
        <w:rPr>
          <w:i/>
          <w:iCs/>
          <w:color w:val="666666"/>
          <w:sz w:val="26"/>
          <w:szCs w:val="26"/>
        </w:rPr>
        <w:t xml:space="preserve">Product Vision, Goal &amp; Requirements Document</w:t>
      </w:r>
    </w:p>
    <w:p>
      <w:pPr>
        <w:spacing w:after="160" w:line="300"/>
      </w:pPr>
      <w:r>
        <w:rPr>
          <w:color w:val="666666"/>
          <w:sz w:val="21"/>
          <w:szCs w:val="21"/>
        </w:rPr>
        <w:t xml:space="preserve">Track 1 — Future of Work and International Talent</w:t>
      </w:r>
    </w:p>
    <w:p>
      <w:pPr>
        <w:spacing w:after="160" w:line="300"/>
      </w:pPr>
      <w:r>
        <w:rPr>
          <w:i/>
          <w:iCs/>
          <w:color w:val="666666"/>
          <w:sz w:val="20"/>
          <w:szCs w:val="20"/>
        </w:rPr>
        <w:t xml:space="preserve">How might we use AI, data and digital technology to help international students and skilled migrants access meaningful career opportunities, while helping Australian employers identify, develop and retain diverse talent?</w:t>
      </w:r>
    </w:p>
    <w:p>
      <w:pPr>
        <w:spacing w:after="200"/>
      </w:pPr>
    </w:p>
    <w:p>
      <w:pPr>
        <w:spacing w:after="160" w:line="300"/>
      </w:pPr>
      <w:r>
        <w:rPr>
          <w:color w:val="666666"/>
          <w:sz w:val="19"/>
          <w:szCs w:val="19"/>
        </w:rPr>
        <w:t xml:space="preserve">Team: [Team name] — Nicolas (Product/PO), Huong (Technical Build), Thuyen (Marketing/Design)</w:t>
      </w:r>
    </w:p>
    <w:p>
      <w:pPr>
        <w:spacing w:after="160" w:line="300"/>
      </w:pPr>
      <w:r>
        <w:rPr>
          <w:color w:val="666666"/>
          <w:sz w:val="19"/>
          <w:szCs w:val="19"/>
        </w:rPr>
        <w:t xml:space="preserve">Date: 23 August 2026</w:t>
      </w:r>
    </w:p>
    <w:p>
      <w:pPr>
        <w:pageBreakBefore/>
      </w:pPr>
      <w:r>
        <w:br/>
        <w:t xml:space="preserve"/>
      </w:r>
    </w:p>
    <w:p>
      <w:pPr>
        <w:pStyle w:val="Heading1"/>
        <w:pBdr>
          <w:bottom w:val="single" w:color="1F5C57" w:sz="6" w:space="4"/>
        </w:pBdr>
        <w:spacing w:after="160" w:before="360"/>
      </w:pPr>
      <w:r>
        <w:rPr>
          <w:b/>
          <w:bCs/>
          <w:color w:val="1F5C57"/>
          <w:sz w:val="30"/>
          <w:szCs w:val="30"/>
        </w:rPr>
        <w:t xml:space="preserve">1. Product Vision</w:t>
      </w:r>
    </w:p>
    <w:p>
      <w:pPr>
        <w:pBdr>
          <w:left w:val="single" w:color="1F5C57" w:sz="24" w:space="8"/>
        </w:pBdr>
        <w:shd w:fill="E4F1EE" w:val="clear"/>
        <w:spacing w:after="200" w:line="320"/>
        <w:ind w:left="100"/>
      </w:pPr>
      <w:r>
        <w:rPr>
          <w:b/>
          <w:bCs/>
          <w:i/>
          <w:iCs/>
          <w:color w:val="1F1F1F"/>
          <w:sz w:val="23"/>
          <w:szCs w:val="23"/>
        </w:rPr>
        <w:t xml:space="preserve">A world where a skill is recognised for what it is — regardless of which country, industry, or job title it was built in — so that no qualified person is filtered out, and no employer is left short of the talent standing right in front of them.</w:t>
      </w:r>
    </w:p>
    <w:p>
      <w:pPr>
        <w:spacing w:after="160" w:line="300"/>
      </w:pPr>
      <w:r>
        <w:rPr>
          <w:sz w:val="21"/>
          <w:szCs w:val="21"/>
        </w:rPr>
        <w:t xml:space="preserve">Australia is not short on talent. It hosts over 680,000 international students, yet 69% of Australian employers still report difficulty finding skilled people. The gap is not scarcity — it is translation. Skills earned overseas, or in a different industry, are invisible to the systems and people meant to evaluate them.</w:t>
      </w:r>
    </w:p>
    <w:p>
      <w:pPr>
        <w:spacing w:after="160" w:line="300"/>
      </w:pPr>
      <w:r>
        <w:rPr>
          <w:sz w:val="21"/>
          <w:szCs w:val="21"/>
        </w:rPr>
        <w:t xml:space="preserve">Skill Bridge exists to close that translation gap. We believe the future of hiring is not about scoring candidates, but about making the skills that already exist — visible, comparable, and trustworthy — to the humans who make hiring decisions.</w:t>
      </w:r>
    </w:p>
    <w:p>
      <w:pPr>
        <w:pStyle w:val="Heading1"/>
        <w:pBdr>
          <w:bottom w:val="single" w:color="1F5C57" w:sz="6" w:space="4"/>
        </w:pBdr>
        <w:spacing w:after="160" w:before="360"/>
      </w:pPr>
      <w:r>
        <w:rPr>
          <w:b/>
          <w:bCs/>
          <w:color w:val="1F5C57"/>
          <w:sz w:val="30"/>
          <w:szCs w:val="30"/>
        </w:rPr>
        <w:t xml:space="preserve">2. Product Goal</w:t>
      </w:r>
    </w:p>
    <w:p>
      <w:pPr>
        <w:pStyle w:val="Heading2"/>
        <w:spacing w:after="120" w:before="280"/>
      </w:pPr>
      <w:r>
        <w:rPr>
          <w:b/>
          <w:bCs/>
          <w:color w:val="1F5C57"/>
          <w:sz w:val="24"/>
          <w:szCs w:val="24"/>
        </w:rPr>
        <w:t xml:space="preserve">2.1 Primary Goal (Hackathon Scope)</w:t>
      </w:r>
    </w:p>
    <w:p>
      <w:pPr>
        <w:spacing w:after="160" w:line="300"/>
      </w:pPr>
      <w:r>
        <w:rPr>
          <w:sz w:val="21"/>
          <w:szCs w:val="21"/>
        </w:rPr>
        <w:t xml:space="preserve">Build a working prototype that translates a candidate's cross-border and cross-industry experience into skills an Australian employer can immediately recognise as relevant — supporting, not replacing, the recruiter's decision.</w:t>
      </w:r>
    </w:p>
    <w:p>
      <w:pPr>
        <w:pStyle w:val="Heading2"/>
        <w:spacing w:after="120" w:before="280"/>
      </w:pPr>
      <w:r>
        <w:rPr>
          <w:b/>
          <w:bCs/>
          <w:color w:val="1F5C57"/>
          <w:sz w:val="24"/>
          <w:szCs w:val="24"/>
        </w:rPr>
        <w:t xml:space="preserve">2.2 Target User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b/>
          <w:bCs/>
          <w:sz w:val="21"/>
          <w:szCs w:val="21"/>
        </w:rPr>
        <w:t xml:space="preserve">Primary user: </w:t>
      </w:r>
      <w:r>
        <w:rPr>
          <w:sz w:val="21"/>
          <w:szCs w:val="21"/>
        </w:rPr>
        <w:t xml:space="preserve">Hiring managers / recruiters at Australian SMEs and mid-size companies, who feel the 69% skills-shortage pain most acutely and have the least internal capacity to solve it themselves.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b/>
          <w:bCs/>
          <w:sz w:val="21"/>
          <w:szCs w:val="21"/>
        </w:rPr>
        <w:t xml:space="preserve">Secondary beneficiary: </w:t>
      </w:r>
      <w:r>
        <w:rPr>
          <w:sz w:val="21"/>
          <w:szCs w:val="21"/>
        </w:rPr>
        <w:t xml:space="preserve">International students and skilled migrants, whose existing skills become visible through the employer's use of the tool.</w:t>
      </w:r>
    </w:p>
    <w:p>
      <w:pPr>
        <w:pStyle w:val="Heading2"/>
        <w:spacing w:after="120" w:before="280"/>
      </w:pPr>
      <w:r>
        <w:rPr>
          <w:b/>
          <w:bCs/>
          <w:color w:val="1F5C57"/>
          <w:sz w:val="24"/>
          <w:szCs w:val="24"/>
        </w:rPr>
        <w:t xml:space="preserve">2.3 Success Criteria for the Hackathon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sz w:val="21"/>
          <w:szCs w:val="21"/>
        </w:rPr>
        <w:t xml:space="preserve">A demoable flow: upload a candidate CV + a job description → receive a ranked, explained skill match.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sz w:val="21"/>
          <w:szCs w:val="21"/>
        </w:rPr>
        <w:t xml:space="preserve">At least one cross-border AND one cross-industry translation shown live (e.g. Product Owner ↔ Marketing Executive).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sz w:val="21"/>
          <w:szCs w:val="21"/>
        </w:rPr>
        <w:t xml:space="preserve">Every recommendation is explainable in plain language — no black-box score.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sz w:val="21"/>
          <w:szCs w:val="21"/>
        </w:rPr>
        <w:t xml:space="preserve">Judges can articulate, unprompted, why this is a two-sided solution (talent + employer) and why it is realistic to build further.</w:t>
      </w:r>
    </w:p>
    <w:p>
      <w:pPr>
        <w:pStyle w:val="Heading2"/>
        <w:spacing w:after="120" w:before="280"/>
      </w:pPr>
      <w:r>
        <w:rPr>
          <w:b/>
          <w:bCs/>
          <w:color w:val="1F5C57"/>
          <w:sz w:val="24"/>
          <w:szCs w:val="24"/>
        </w:rPr>
        <w:t xml:space="preserve">2.4 Goal Statement</w:t>
      </w:r>
    </w:p>
    <w:p>
      <w:pPr>
        <w:pBdr>
          <w:left w:val="single" w:color="3B6EA5" w:sz="24" w:space="8"/>
        </w:pBdr>
        <w:shd w:fill="E7EEF7" w:val="clear"/>
        <w:spacing w:after="200" w:line="300"/>
        <w:ind w:left="100"/>
      </w:pPr>
      <w:r>
        <w:rPr>
          <w:i/>
          <w:iCs/>
          <w:sz w:val="21"/>
          <w:szCs w:val="21"/>
        </w:rPr>
        <w:t xml:space="preserve">For Australian SME recruiters who cannot tell which international or cross-industry candidates are actually qualified, Skill Bridge is a decision-support tool that translates experience into recognisable, ranked, and explained skill matches — unlike keyword-based ATS filters, which discard qualified candidates before a human ever sees their real capability.</w:t>
      </w:r>
    </w:p>
    <w:p>
      <w:pPr>
        <w:pStyle w:val="Heading1"/>
        <w:pBdr>
          <w:bottom w:val="single" w:color="1F5C57" w:sz="6" w:space="4"/>
        </w:pBdr>
        <w:spacing w:after="160" w:before="360"/>
      </w:pPr>
      <w:r>
        <w:rPr>
          <w:b/>
          <w:bCs/>
          <w:color w:val="1F5C57"/>
          <w:sz w:val="30"/>
          <w:szCs w:val="30"/>
        </w:rPr>
        <w:t xml:space="preserve">3. Problem Context &amp; Evidence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2600"/>
        <w:gridCol w:w="3350"/>
      </w:tblGrid>
      <w:tr>
        <w:trPr>
          <w:tblHeader/>
        </w:trPr>
        <w:tc>
          <w:tcPr>
            <w:tcW w:type="dxa" w:w="3400"/>
            <w:shd w:fill="1F5C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Data point</w:t>
            </w:r>
          </w:p>
        </w:tc>
        <w:tc>
          <w:tcPr>
            <w:tcW w:type="dxa" w:w="2600"/>
            <w:shd w:fill="1F5C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  <w:tc>
          <w:tcPr>
            <w:tcW w:type="dxa" w:w="3350"/>
            <w:shd w:fill="1F5C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Why it matters</w:t>
            </w:r>
          </w:p>
        </w:tc>
      </w:tr>
      <w:tr>
        <w:tc>
          <w:tcPr>
            <w:tcW w:type="dxa" w:w="3400"/>
            <w:shd w:fill="F7F9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69% of Australian employers report difficulty finding skilled talent</w:t>
            </w:r>
          </w:p>
        </w:tc>
        <w:tc>
          <w:tcPr>
            <w:tcW w:type="dxa" w:w="2600"/>
            <w:shd w:fill="F7F9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ManpowerGroup, 2024</w:t>
            </w:r>
          </w:p>
        </w:tc>
        <w:tc>
          <w:tcPr>
            <w:tcW w:type="dxa" w:w="3350"/>
            <w:shd w:fill="F7F9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Confirms the shortage is perceived as real by employers</w:t>
            </w:r>
          </w:p>
        </w:tc>
      </w:tr>
      <w:tr>
        <w:tc>
          <w:tcPr>
            <w:tcW w:type="dxa" w:w="3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92% of tech executives believe AI capability will be essential within 5 years</w:t>
            </w:r>
          </w:p>
        </w:tc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KPMG Global Tech Report, 2026</w:t>
            </w:r>
          </w:p>
        </w:tc>
        <w:tc>
          <w:tcPr>
            <w:tcW w:type="dxa" w:w="33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Employers are raising the bar on skill signalling, not lowering it</w:t>
            </w:r>
          </w:p>
        </w:tc>
      </w:tr>
      <w:tr>
        <w:tc>
          <w:tcPr>
            <w:tcW w:type="dxa" w:w="3400"/>
            <w:shd w:fill="F7F9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680,582 international students in Australia (Jan–May 2026)</w:t>
            </w:r>
          </w:p>
        </w:tc>
        <w:tc>
          <w:tcPr>
            <w:tcW w:type="dxa" w:w="2600"/>
            <w:shd w:fill="F7F9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Australian Government Dept. of Education, 2026</w:t>
            </w:r>
          </w:p>
        </w:tc>
        <w:tc>
          <w:tcPr>
            <w:tcW w:type="dxa" w:w="3350"/>
            <w:shd w:fill="F7F9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 large, visible, underused talent pool already exists</w:t>
            </w:r>
          </w:p>
        </w:tc>
      </w:tr>
      <w:tr>
        <w:tc>
          <w:tcPr>
            <w:tcW w:type="dxa" w:w="3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Higher education enrolments +2% YoY, but overall international student numbers -6.9% YoY</w:t>
            </w:r>
          </w:p>
        </w:tc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Australian Government Dept. of Education, 2026</w:t>
            </w:r>
          </w:p>
        </w:tc>
        <w:tc>
          <w:tcPr>
            <w:tcW w:type="dxa" w:w="33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Signals a possible drop-off between study and employment outcomes</w:t>
            </w:r>
          </w:p>
        </w:tc>
      </w:tr>
    </w:tbl>
    <w:p>
      <w:pPr>
        <w:spacing w:after="160"/>
      </w:pPr>
    </w:p>
    <w:p>
      <w:pPr>
        <w:spacing w:after="80" w:before="200"/>
      </w:pPr>
      <w:r>
        <w:rPr>
          <w:b/>
          <w:bCs/>
          <w:color w:val="222222"/>
          <w:sz w:val="22"/>
          <w:szCs w:val="22"/>
        </w:rPr>
        <w:t xml:space="preserve">Root cause</w:t>
      </w:r>
    </w:p>
    <w:p>
      <w:pPr>
        <w:spacing w:after="160" w:line="300"/>
      </w:pPr>
      <w:r>
        <w:rPr>
          <w:sz w:val="21"/>
          <w:szCs w:val="21"/>
        </w:rPr>
        <w:t xml:space="preserve">Employers named "identifying transferable skills" and "evaluating international experience and credentials" as explicit barriers. This is not a lack of talent — it is a failure to recognise the skills that are already present, because they arrive in an unfamiliar format: a foreign job title, a different industry's vocabulary, or a CV structure the local ATS was never built to parse.</w:t>
      </w:r>
    </w:p>
    <w:p>
      <w:pPr>
        <w:pStyle w:val="Heading1"/>
        <w:pBdr>
          <w:bottom w:val="single" w:color="1F5C57" w:sz="6" w:space="4"/>
        </w:pBdr>
        <w:spacing w:after="160" w:before="360"/>
      </w:pPr>
      <w:r>
        <w:rPr>
          <w:b/>
          <w:bCs/>
          <w:color w:val="1F5C57"/>
          <w:sz w:val="30"/>
          <w:szCs w:val="30"/>
        </w:rPr>
        <w:t xml:space="preserve">4. Stakeholders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500"/>
        <w:gridCol w:w="3050"/>
      </w:tblGrid>
      <w:tr>
        <w:trPr>
          <w:tblHeader/>
        </w:trPr>
        <w:tc>
          <w:tcPr>
            <w:tcW w:type="dxa" w:w="2800"/>
            <w:shd w:fill="1F5C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Stakeholder</w:t>
            </w:r>
          </w:p>
        </w:tc>
        <w:tc>
          <w:tcPr>
            <w:tcW w:type="dxa" w:w="3500"/>
            <w:shd w:fill="1F5C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Role in the problem</w:t>
            </w:r>
          </w:p>
        </w:tc>
        <w:tc>
          <w:tcPr>
            <w:tcW w:type="dxa" w:w="3050"/>
            <w:shd w:fill="1F5C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Value received from Skill Bridge</w:t>
            </w:r>
          </w:p>
        </w:tc>
      </w:tr>
      <w:tr>
        <w:tc>
          <w:tcPr>
            <w:tcW w:type="dxa" w:w="2800"/>
            <w:shd w:fill="F7F9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Hiring managers / recruiters (primary user)</w:t>
            </w:r>
          </w:p>
        </w:tc>
        <w:tc>
          <w:tcPr>
            <w:tcW w:type="dxa" w:w="3500"/>
            <w:shd w:fill="F7F9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Screen candidates but cannot verify transferable skills</w:t>
            </w:r>
          </w:p>
        </w:tc>
        <w:tc>
          <w:tcPr>
            <w:tcW w:type="dxa" w:w="3050"/>
            <w:shd w:fill="F7F9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Faster, explainable shortlisting; fewer false rejections</w:t>
            </w:r>
          </w:p>
        </w:tc>
      </w:tr>
      <w:tr>
        <w:tc>
          <w:tcPr>
            <w:tcW w:type="dxa" w:w="2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International students &amp; skilled migrants</w:t>
            </w:r>
          </w:p>
        </w:tc>
        <w:tc>
          <w:tcPr>
            <w:tcW w:type="dxa" w:w="3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Hold relevant skills that go unrecognised</w:t>
            </w:r>
          </w:p>
        </w:tc>
        <w:tc>
          <w:tcPr>
            <w:tcW w:type="dxa" w:w="30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Their real capability becomes visible to employers</w:t>
            </w:r>
          </w:p>
        </w:tc>
      </w:tr>
      <w:tr>
        <w:tc>
          <w:tcPr>
            <w:tcW w:type="dxa" w:w="2800"/>
            <w:shd w:fill="F7F9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Australian SMEs</w:t>
            </w:r>
          </w:p>
        </w:tc>
        <w:tc>
          <w:tcPr>
            <w:tcW w:type="dxa" w:w="3500"/>
            <w:shd w:fill="F7F9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Face the sharpest skills-shortage pain, least HR capacity</w:t>
            </w:r>
          </w:p>
        </w:tc>
        <w:tc>
          <w:tcPr>
            <w:tcW w:type="dxa" w:w="3050"/>
            <w:shd w:fill="F7F9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Lower-cost, adoptable tool vs. building internal capability</w:t>
            </w:r>
          </w:p>
        </w:tc>
      </w:tr>
      <w:tr>
        <w:tc>
          <w:tcPr>
            <w:tcW w:type="dxa" w:w="2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Universities &amp; training providers</w:t>
            </w:r>
          </w:p>
        </w:tc>
        <w:tc>
          <w:tcPr>
            <w:tcW w:type="dxa" w:w="3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Support graduate employability outcomes</w:t>
            </w:r>
          </w:p>
        </w:tc>
        <w:tc>
          <w:tcPr>
            <w:tcW w:type="dxa" w:w="30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Better employment outcomes to report; potential integration partner</w:t>
            </w:r>
          </w:p>
        </w:tc>
      </w:tr>
      <w:tr>
        <w:tc>
          <w:tcPr>
            <w:tcW w:type="dxa" w:w="2800"/>
            <w:shd w:fill="F7F9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Credential assessment bodies (e.g. VETASSESS)</w:t>
            </w:r>
          </w:p>
        </w:tc>
        <w:tc>
          <w:tcPr>
            <w:tcW w:type="dxa" w:w="3500"/>
            <w:shd w:fill="F7F9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Provide formal (slow) recognition today</w:t>
            </w:r>
          </w:p>
        </w:tc>
        <w:tc>
          <w:tcPr>
            <w:tcW w:type="dxa" w:w="3050"/>
            <w:shd w:fill="F7F9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Complementary, not competing — Skill Bridge handles fast informal signal</w:t>
            </w:r>
          </w:p>
        </w:tc>
      </w:tr>
    </w:tbl>
    <w:p>
      <w:pPr>
        <w:pStyle w:val="Heading1"/>
        <w:pBdr>
          <w:bottom w:val="single" w:color="1F5C57" w:sz="6" w:space="4"/>
        </w:pBdr>
        <w:spacing w:after="160" w:before="360"/>
      </w:pPr>
      <w:r>
        <w:rPr>
          <w:b/>
          <w:bCs/>
          <w:color w:val="1F5C57"/>
          <w:sz w:val="30"/>
          <w:szCs w:val="30"/>
        </w:rPr>
        <w:t xml:space="preserve">5. Feature Requirements</w:t>
      </w:r>
    </w:p>
    <w:p>
      <w:pPr>
        <w:spacing w:after="160" w:line="300"/>
      </w:pPr>
      <w:r>
        <w:rPr>
          <w:sz w:val="21"/>
          <w:szCs w:val="21"/>
        </w:rPr>
        <w:t xml:space="preserve">Features are split by build horizon: what the team commits to demonstrating live in the hackathon, versus what is presented to judges as the product's roadmap and long-term defensibility (USP).</w:t>
      </w:r>
    </w:p>
    <w:p>
      <w:pPr>
        <w:pStyle w:val="Heading2"/>
        <w:spacing w:after="120" w:before="280"/>
      </w:pPr>
      <w:r>
        <w:rPr>
          <w:b/>
          <w:bCs/>
          <w:color w:val="1F5C57"/>
          <w:sz w:val="24"/>
          <w:szCs w:val="24"/>
        </w:rPr>
        <w:t xml:space="preserve">5.1 MVP — Build for the Hackathon Demo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500"/>
        <w:gridCol w:w="4700"/>
        <w:gridCol w:w="1650"/>
      </w:tblGrid>
      <w:tr>
        <w:trPr>
          <w:tblHeader/>
        </w:trPr>
        <w:tc>
          <w:tcPr>
            <w:tcW w:type="dxa" w:w="500"/>
            <w:shd w:fill="1F5C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500"/>
            <w:shd w:fill="1F5C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4700"/>
            <w:shd w:fill="1F5C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650"/>
            <w:shd w:fill="1F5C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500"/>
            <w:shd w:fill="F7F9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dxa" w:w="2500"/>
            <w:shd w:fill="F7F9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CV / Experience Parser</w:t>
            </w:r>
          </w:p>
        </w:tc>
        <w:tc>
          <w:tcPr>
            <w:tcW w:type="dxa" w:w="4700"/>
            <w:shd w:fill="F7F9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Ingests a candidate's CV or work history (including non-standard international formats) and extracts roles, responsibilities, and skills.</w:t>
            </w:r>
          </w:p>
        </w:tc>
        <w:tc>
          <w:tcPr>
            <w:tcW w:type="dxa" w:w="1650"/>
            <w:shd w:fill="F7F9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Must-have</w:t>
            </w:r>
          </w:p>
        </w:tc>
      </w:tr>
      <w:tr>
        <w:tc>
          <w:tcPr>
            <w:tcW w:type="dxa" w:w="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2</w:t>
            </w:r>
          </w:p>
        </w:tc>
        <w:tc>
          <w:tcPr>
            <w:tcW w:type="dxa" w:w="2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Cross-Border + Cross-Industry Skill Translator</w:t>
            </w:r>
          </w:p>
        </w:tc>
        <w:tc>
          <w:tcPr>
            <w:tcW w:type="dxa" w:w="47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Core engine. Maps overseas job titles/duties to local-market equivalents, and maps skills across industries where the underlying competency matches (e.g. Product Owner ↔ Marketing Executive; Business Analyst ↔ Data Analyst + business decision-making).</w:t>
            </w:r>
          </w:p>
        </w:tc>
        <w:tc>
          <w:tcPr>
            <w:tcW w:type="dxa" w:w="16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Must-have</w:t>
            </w:r>
          </w:p>
        </w:tc>
      </w:tr>
      <w:tr>
        <w:tc>
          <w:tcPr>
            <w:tcW w:type="dxa" w:w="500"/>
            <w:shd w:fill="F7F9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3</w:t>
            </w:r>
          </w:p>
        </w:tc>
        <w:tc>
          <w:tcPr>
            <w:tcW w:type="dxa" w:w="2500"/>
            <w:shd w:fill="F7F9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Transferable Skills Highlighter</w:t>
            </w:r>
          </w:p>
        </w:tc>
        <w:tc>
          <w:tcPr>
            <w:tcW w:type="dxa" w:w="4700"/>
            <w:shd w:fill="F7F9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Shows which skills genuinely transfer, with a plain-language reason for each match (not a bare score).</w:t>
            </w:r>
          </w:p>
        </w:tc>
        <w:tc>
          <w:tcPr>
            <w:tcW w:type="dxa" w:w="1650"/>
            <w:shd w:fill="F7F9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Must-have</w:t>
            </w:r>
          </w:p>
        </w:tc>
      </w:tr>
      <w:tr>
        <w:tc>
          <w:tcPr>
            <w:tcW w:type="dxa" w:w="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4</w:t>
            </w:r>
          </w:p>
        </w:tc>
        <w:tc>
          <w:tcPr>
            <w:tcW w:type="dxa" w:w="2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JD-Frequency Skill Ranking</w:t>
            </w:r>
          </w:p>
        </w:tc>
        <w:tc>
          <w:tcPr>
            <w:tcW w:type="dxa" w:w="47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Ranks recommended skills by how often they appear across a sample set of real job descriptions for the target role.</w:t>
            </w:r>
          </w:p>
        </w:tc>
        <w:tc>
          <w:tcPr>
            <w:tcW w:type="dxa" w:w="16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Should-have</w:t>
            </w:r>
          </w:p>
        </w:tc>
      </w:tr>
      <w:tr>
        <w:tc>
          <w:tcPr>
            <w:tcW w:type="dxa" w:w="500"/>
            <w:shd w:fill="F7F9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5</w:t>
            </w:r>
          </w:p>
        </w:tc>
        <w:tc>
          <w:tcPr>
            <w:tcW w:type="dxa" w:w="2500"/>
            <w:shd w:fill="F7F9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Honest Gap Flagging</w:t>
            </w:r>
          </w:p>
        </w:tc>
        <w:tc>
          <w:tcPr>
            <w:tcW w:type="dxa" w:w="4700"/>
            <w:shd w:fill="F7F9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Surfaces skills the candidate is missing, so the tool builds trust instead of overselling a candidate.</w:t>
            </w:r>
          </w:p>
        </w:tc>
        <w:tc>
          <w:tcPr>
            <w:tcW w:type="dxa" w:w="1650"/>
            <w:shd w:fill="F7F9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Should-have</w:t>
            </w:r>
          </w:p>
        </w:tc>
      </w:tr>
      <w:tr>
        <w:tc>
          <w:tcPr>
            <w:tcW w:type="dxa" w:w="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6</w:t>
            </w:r>
          </w:p>
        </w:tc>
        <w:tc>
          <w:tcPr>
            <w:tcW w:type="dxa" w:w="2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Skill-Level Matching Rate</w:t>
            </w:r>
          </w:p>
        </w:tc>
        <w:tc>
          <w:tcPr>
            <w:tcW w:type="dxa" w:w="47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Match rate is calculated and displayed per skill, not as a single score on the person — keeps hiring judgement with the human.</w:t>
            </w:r>
          </w:p>
        </w:tc>
        <w:tc>
          <w:tcPr>
            <w:tcW w:type="dxa" w:w="16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Must-have</w:t>
            </w:r>
          </w:p>
        </w:tc>
      </w:tr>
      <w:tr>
        <w:tc>
          <w:tcPr>
            <w:tcW w:type="dxa" w:w="500"/>
            <w:shd w:fill="F7F9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7</w:t>
            </w:r>
          </w:p>
        </w:tc>
        <w:tc>
          <w:tcPr>
            <w:tcW w:type="dxa" w:w="2500"/>
            <w:shd w:fill="F7F9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Human-in-the-Loop Review UI</w:t>
            </w:r>
          </w:p>
        </w:tc>
        <w:tc>
          <w:tcPr>
            <w:tcW w:type="dxa" w:w="4700"/>
            <w:shd w:fill="F7F9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The recruiter reviews and decides; the tool never auto-approves or auto-rejects a candidate.</w:t>
            </w:r>
          </w:p>
        </w:tc>
        <w:tc>
          <w:tcPr>
            <w:tcW w:type="dxa" w:w="1650"/>
            <w:shd w:fill="F7F9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Must-have</w:t>
            </w:r>
          </w:p>
        </w:tc>
      </w:tr>
    </w:tbl>
    <w:p>
      <w:pPr>
        <w:spacing w:after="160"/>
      </w:pPr>
    </w:p>
    <w:p>
      <w:pPr>
        <w:pStyle w:val="Heading2"/>
        <w:spacing w:after="120" w:before="280"/>
      </w:pPr>
      <w:r>
        <w:rPr>
          <w:b/>
          <w:bCs/>
          <w:color w:val="1F5C57"/>
          <w:sz w:val="24"/>
          <w:szCs w:val="24"/>
        </w:rPr>
        <w:t xml:space="preserve">5.2 Product Vision / Roadmap — Presented as USP, Not Built Live</w:t>
      </w:r>
    </w:p>
    <w:p>
      <w:pPr>
        <w:spacing w:after="160" w:line="300"/>
      </w:pPr>
      <w:r>
        <w:rPr>
          <w:i/>
          <w:iCs/>
          <w:color w:val="666666"/>
          <w:sz w:val="21"/>
          <w:szCs w:val="21"/>
        </w:rPr>
        <w:t xml:space="preserve">These features require real usage data the team will not have within a two-day hackathon. They are presented to judges as the product's growth story and long-term moat.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600"/>
        <w:gridCol w:w="4600"/>
        <w:gridCol w:w="1650"/>
      </w:tblGrid>
      <w:tr>
        <w:trPr>
          <w:tblHeader/>
        </w:trPr>
        <w:tc>
          <w:tcPr>
            <w:tcW w:type="dxa" w:w="500"/>
            <w:shd w:fill="1F5C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600"/>
            <w:shd w:fill="1F5C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4600"/>
            <w:shd w:fill="1F5C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650"/>
            <w:shd w:fill="1F5C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Depends on</w:t>
            </w:r>
          </w:p>
        </w:tc>
      </w:tr>
      <w:tr>
        <w:tc>
          <w:tcPr>
            <w:tcW w:type="dxa" w:w="500"/>
            <w:shd w:fill="F7F9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8</w:t>
            </w:r>
          </w:p>
        </w:tc>
        <w:tc>
          <w:tcPr>
            <w:tcW w:type="dxa" w:w="2600"/>
            <w:shd w:fill="F7F9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Skill Combination Engine (co-occurrence)</w:t>
            </w:r>
          </w:p>
        </w:tc>
        <w:tc>
          <w:tcPr>
            <w:tcW w:type="dxa" w:w="4600"/>
            <w:shd w:fill="F7F9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Learns that people with skill A usually also hold skill B or C (from candidate profiles), and that employers who require skill A usually also require skill B or C (from JDs).</w:t>
            </w:r>
          </w:p>
        </w:tc>
        <w:tc>
          <w:tcPr>
            <w:tcW w:type="dxa" w:w="1650"/>
            <w:shd w:fill="F7F9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Volume of candidate + JD data</w:t>
            </w:r>
          </w:p>
        </w:tc>
      </w:tr>
      <w:tr>
        <w:tc>
          <w:tcPr>
            <w:tcW w:type="dxa" w:w="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9</w:t>
            </w:r>
          </w:p>
        </w:tc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Outcome-Based Learning Loop</w:t>
            </w:r>
          </w:p>
        </w:tc>
        <w:tc>
          <w:tcPr>
            <w:tcW w:type="dxa" w:w="4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Recruiters mark a submitted candidate as hired/not hired and vote on which skill(s) drove the decision. Skills are re-ranked by real hiring outcomes over time.</w:t>
            </w:r>
          </w:p>
        </w:tc>
        <w:tc>
          <w:tcPr>
            <w:tcW w:type="dxa" w:w="16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Live platform usage + recruiter feedback</w:t>
            </w:r>
          </w:p>
        </w:tc>
      </w:tr>
      <w:tr>
        <w:tc>
          <w:tcPr>
            <w:tcW w:type="dxa" w:w="500"/>
            <w:shd w:fill="F7F9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10</w:t>
            </w:r>
          </w:p>
        </w:tc>
        <w:tc>
          <w:tcPr>
            <w:tcW w:type="dxa" w:w="2600"/>
            <w:shd w:fill="F7F9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Data-Driven Transferable Skill Detection</w:t>
            </w:r>
          </w:p>
        </w:tc>
        <w:tc>
          <w:tcPr>
            <w:tcW w:type="dxa" w:w="4600"/>
            <w:shd w:fill="F7F9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 skill that frequently appears across diverse job titles and industries is automatically flagged as "transferable," validated by real usage rather than manual curation.</w:t>
            </w:r>
          </w:p>
        </w:tc>
        <w:tc>
          <w:tcPr>
            <w:tcW w:type="dxa" w:w="1650"/>
            <w:shd w:fill="F7F9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Sufficient data volume across industries</w:t>
            </w:r>
          </w:p>
        </w:tc>
      </w:tr>
      <w:tr>
        <w:tc>
          <w:tcPr>
            <w:tcW w:type="dxa" w:w="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11</w:t>
            </w:r>
          </w:p>
        </w:tc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Compounding Data Flywheel</w:t>
            </w:r>
          </w:p>
        </w:tc>
        <w:tc>
          <w:tcPr>
            <w:tcW w:type="dxa" w:w="4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The more the platform is used, the more accurate its recommendations become — the core long-term defensibility story, since a static algorithm can be copied but a live feedback loop cannot.</w:t>
            </w:r>
          </w:p>
        </w:tc>
        <w:tc>
          <w:tcPr>
            <w:tcW w:type="dxa" w:w="16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Features 8–10 combined, at scale</w:t>
            </w:r>
          </w:p>
        </w:tc>
      </w:tr>
    </w:tbl>
    <w:p>
      <w:pPr>
        <w:pStyle w:val="Heading1"/>
        <w:pBdr>
          <w:bottom w:val="single" w:color="1F5C57" w:sz="6" w:space="4"/>
        </w:pBdr>
        <w:spacing w:after="160" w:before="360"/>
      </w:pPr>
      <w:r>
        <w:rPr>
          <w:b/>
          <w:bCs/>
          <w:color w:val="1F5C57"/>
          <w:sz w:val="30"/>
          <w:szCs w:val="30"/>
        </w:rPr>
        <w:t xml:space="preserve">6. Constraints &amp; Responsible AI Considerations</w:t>
      </w:r>
    </w:p>
    <w:p>
      <w:pPr>
        <w:spacing w:after="80" w:before="200"/>
      </w:pPr>
      <w:r>
        <w:rPr>
          <w:b/>
          <w:bCs/>
          <w:color w:val="222222"/>
          <w:sz w:val="22"/>
          <w:szCs w:val="22"/>
        </w:rPr>
        <w:t xml:space="preserve">Privacy &amp; data protection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sz w:val="21"/>
          <w:szCs w:val="21"/>
        </w:rPr>
        <w:t xml:space="preserve">Candidate CVs and JDs used in the demo are either synthetic or consented sample data — no real personal data is processed without consent.</w:t>
      </w:r>
    </w:p>
    <w:p>
      <w:pPr>
        <w:spacing w:after="80" w:before="200"/>
      </w:pPr>
      <w:r>
        <w:rPr>
          <w:b/>
          <w:bCs/>
          <w:color w:val="222222"/>
          <w:sz w:val="22"/>
          <w:szCs w:val="22"/>
        </w:rPr>
        <w:t xml:space="preserve">Bias &amp; fairness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sz w:val="21"/>
          <w:szCs w:val="21"/>
        </w:rPr>
        <w:t xml:space="preserve">Skill matches are explained in plain language so a human can catch and challenge a biased or incorrect mapping.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sz w:val="21"/>
          <w:szCs w:val="21"/>
        </w:rPr>
        <w:t xml:space="preserve">The tool ranks skills, not people, to avoid encoding proxy bias into a single opaque score.</w:t>
      </w:r>
    </w:p>
    <w:p>
      <w:pPr>
        <w:spacing w:after="80" w:before="200"/>
      </w:pPr>
      <w:r>
        <w:rPr>
          <w:b/>
          <w:bCs/>
          <w:color w:val="222222"/>
          <w:sz w:val="22"/>
          <w:szCs w:val="22"/>
        </w:rPr>
        <w:t xml:space="preserve">Transparency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sz w:val="21"/>
          <w:szCs w:val="21"/>
        </w:rPr>
        <w:t xml:space="preserve">Every recommendation shows its reasoning (source skill → mapped skill → why), not just a confidence percentage.</w:t>
      </w:r>
    </w:p>
    <w:p>
      <w:pPr>
        <w:spacing w:after="80" w:before="200"/>
      </w:pPr>
      <w:r>
        <w:rPr>
          <w:b/>
          <w:bCs/>
          <w:color w:val="222222"/>
          <w:sz w:val="22"/>
          <w:szCs w:val="22"/>
        </w:rPr>
        <w:t xml:space="preserve">Human oversight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sz w:val="21"/>
          <w:szCs w:val="21"/>
        </w:rPr>
        <w:t xml:space="preserve">No feature in the MVP auto-accepts or auto-rejects a candidate. The recruiter always makes the final call.</w:t>
      </w:r>
    </w:p>
    <w:p>
      <w:pPr>
        <w:spacing w:after="80" w:before="200"/>
      </w:pPr>
      <w:r>
        <w:rPr>
          <w:b/>
          <w:bCs/>
          <w:color w:val="222222"/>
          <w:sz w:val="22"/>
          <w:szCs w:val="22"/>
        </w:rPr>
        <w:t xml:space="preserve">Accessibility &amp; inclusion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sz w:val="21"/>
          <w:szCs w:val="21"/>
        </w:rPr>
        <w:t xml:space="preserve">CV parsing must tolerate non-standard formats and translated documents, since candidates come from varied cultural, language, and educational backgrounds.</w:t>
      </w:r>
    </w:p>
    <w:p>
      <w:pPr>
        <w:spacing w:after="80" w:before="200"/>
      </w:pPr>
      <w:r>
        <w:rPr>
          <w:b/>
          <w:bCs/>
          <w:color w:val="222222"/>
          <w:sz w:val="22"/>
          <w:szCs w:val="22"/>
        </w:rPr>
        <w:t xml:space="preserve">Practical implementation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sz w:val="21"/>
          <w:szCs w:val="21"/>
        </w:rPr>
        <w:t xml:space="preserve">Designed to be adoptable by an Australian SME or training provider without new infrastructure — a lightweight web tool or dashboard add-on, not a platform migration.</w:t>
      </w:r>
    </w:p>
    <w:p>
      <w:pPr>
        <w:pStyle w:val="Heading1"/>
        <w:pBdr>
          <w:bottom w:val="single" w:color="1F5C57" w:sz="6" w:space="4"/>
        </w:pBdr>
        <w:spacing w:after="160" w:before="360"/>
      </w:pPr>
      <w:r>
        <w:rPr>
          <w:b/>
          <w:bCs/>
          <w:color w:val="1F5C57"/>
          <w:sz w:val="30"/>
          <w:szCs w:val="30"/>
        </w:rPr>
        <w:t xml:space="preserve">7. Out of Scope (Hackathon)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sz w:val="21"/>
          <w:szCs w:val="21"/>
        </w:rPr>
        <w:t xml:space="preserve">Automated hire/reject decisions of any kind.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sz w:val="21"/>
          <w:szCs w:val="21"/>
        </w:rPr>
        <w:t xml:space="preserve">Formal credential verification or legal equivalency (remains the role of bodies like VETASSESS).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sz w:val="21"/>
          <w:szCs w:val="21"/>
        </w:rPr>
        <w:t xml:space="preserve">Visa/work-rights eligibility checking.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sz w:val="21"/>
          <w:szCs w:val="21"/>
        </w:rPr>
        <w:t xml:space="preserve">Full-scale co-occurrence or outcome-based ranking requiring real production data (see Section 5.2).</w:t>
      </w:r>
    </w:p>
    <w:p>
      <w:pPr>
        <w:pStyle w:val="Heading1"/>
        <w:pBdr>
          <w:bottom w:val="single" w:color="1F5C57" w:sz="6" w:space="4"/>
        </w:pBdr>
        <w:spacing w:after="160" w:before="360"/>
      </w:pPr>
      <w:r>
        <w:rPr>
          <w:b/>
          <w:bCs/>
          <w:color w:val="1F5C57"/>
          <w:sz w:val="30"/>
          <w:szCs w:val="30"/>
        </w:rPr>
        <w:t xml:space="preserve">8. Open Questions for the Team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sz w:val="21"/>
          <w:szCs w:val="21"/>
        </w:rPr>
        <w:t xml:space="preserve">What seed dataset will we use to demo cross-industry mapping live (manually curated list of 20–30 skill pairs)?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sz w:val="21"/>
          <w:szCs w:val="21"/>
        </w:rPr>
        <w:t xml:space="preserve">Which 2–3 industries give us the clearest, most relatable cross-industry translation examples for judges (e.g. Product ↔ Marketing, Business Analysis ↔ Data Analysis)?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sz w:val="21"/>
          <w:szCs w:val="21"/>
        </w:rPr>
        <w:t xml:space="preserve">Do we have access to a small real or realistic set of JDs to power the frequency ranking feature?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sz w:val="21"/>
          <w:szCs w:val="21"/>
        </w:rPr>
        <w:t xml:space="preserve">What is the simplest UI that shows skill-level matching without implying a single "candidate score"?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  <w:lvl w:ilvl="1" w15:tentative="1">
      <w:start w:val="1"/>
      <w:numFmt w:val="bullet"/>
      <w:lvlText w:val="◦"/>
      <w:lvlJc w:val="left"/>
      <w:pPr>
        <w:ind w:left="7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2026-08-22T17:36:58.738Z</dcterms:created>
  <dcterms:modified xsi:type="dcterms:W3CDTF">2026-08-22T17:36:58.752Z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