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Tables and Figures</w:t>
        <w:br/>
      </w:r>
      <w:r>
        <w:rPr>
          <w:sz w:val="24"/>
        </w:rPr>
        <w:t>P3: Technological Capability, Digital Adoption, and the Internationalization–Performance Relationship in Singapore</w:t>
      </w:r>
    </w:p>
    <w:p>
      <w:r>
        <w:br w:type="page"/>
      </w:r>
    </w:p>
    <w:p>
      <w:pPr>
        <w:pStyle w:val="Heading2"/>
      </w:pPr>
      <w:r>
        <w:t>Table 1. Descriptive Statistics (N = 623)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Min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Max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Ln(Labor productivity)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11.354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7.601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15.895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FSTS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TCI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DAI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0.258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Foreign licensed tech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Product innovation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R&amp;D spending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Quality certification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0.233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Website/social media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0.474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E-payment received (%)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73.557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26.026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Firm size (ln)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3.164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1.118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1.386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6.310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Firm age (years)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17.698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12.262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57.000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Foreign-owned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623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0.465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1.000</w:t>
            </w:r>
          </w:p>
        </w:tc>
      </w:tr>
    </w:tbl>
    <w:p>
      <w:r>
        <w:rPr>
          <w:b/>
        </w:rPr>
        <w:t xml:space="preserve">Notes: </w:t>
      </w:r>
      <w:r>
        <w:rPr>
          <w:sz w:val="16"/>
        </w:rPr>
        <w:t>FSTS = direct export sales / total sales. TCI and DAI shown before z-standardization.</w:t>
      </w:r>
    </w:p>
    <w:p>
      <w:r>
        <w:br w:type="page"/>
      </w:r>
    </w:p>
    <w:p>
      <w:pPr>
        <w:pStyle w:val="Heading2"/>
      </w:pPr>
      <w:r>
        <w:t>Table 1 (continued). Correlation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(1) Ln(LP)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(2) FSTS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(3) TCI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(4)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0.28**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(5) Size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-0.12**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0.30**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(6) Age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0.09*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(7) Foreign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-0.12**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1.00</w:t>
            </w:r>
          </w:p>
        </w:tc>
      </w:tr>
    </w:tbl>
    <w:p>
      <w:r>
        <w:rPr>
          <w:sz w:val="16"/>
        </w:rPr>
        <w:t>** p &lt; .01, * p &lt; .05. N = 617–623.</w:t>
      </w:r>
    </w:p>
    <w:p>
      <w:r>
        <w:br w:type="page"/>
      </w:r>
    </w:p>
    <w:p>
      <w:pPr>
        <w:pStyle w:val="Heading2"/>
      </w:pPr>
      <w:r>
        <w:t>Table 2. Hierarchical OLS Regression Results</w:t>
      </w:r>
    </w:p>
    <w:p>
      <w:r>
        <w:rPr>
          <w:sz w:val="18"/>
        </w:rPr>
        <w:t>Dependent variable: Ln(Labor Productivity). HC1 robust standard errors in parentheses.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Variable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(7)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3.490***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2.797**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3.106***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2.599**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3.531***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3.058**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(0.925)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(0.920)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(0.947)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(0.943)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-2.103†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-1.431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-1.779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-1.265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-3.166**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-2.715*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(1.087)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(1.115)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(1.092)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(1.120)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(1.100)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(1.101)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TCI (z)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0.200***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0.186***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(0.044)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DAI (z)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0.114**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0.114**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0.073†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(0.038)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(0.040)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 ×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-1.181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-1.279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(0.913)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(0.893)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FSTS² × DAI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2.869*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3.023*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(1.284)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(1.309)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size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-0.164***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-0.153***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-0.207***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-0.163***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-0.210***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-0.152***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-0.199***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(0.037)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(0.037)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Firm age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0.018***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0.015***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Foreign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0.463***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0.344***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0.346***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0.330***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0.332***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0.315***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(0.099)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(0.091)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(0.092)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(0.093)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4"/>
              </w:rPr>
              <w:t>(0.092)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623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617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0.1620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0.1914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0.1699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0.1932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0.1782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0.2021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Adj. R²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0.0772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0.1552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0.1839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0.1674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0.1902</w:t>
            </w:r>
          </w:p>
        </w:tc>
      </w:tr>
    </w:tbl>
    <w:p>
      <w:r>
        <w:rPr>
          <w:b/>
        </w:rPr>
        <w:t xml:space="preserve">Notes: </w:t>
      </w:r>
      <w:r>
        <w:rPr>
          <w:sz w:val="14"/>
        </w:rPr>
        <w:t>*** p &lt; .001, ** p &lt; .01, * p &lt; .05, † p &lt; .10. TCI = z-standardized Technological Capability Index. DAI = z-standardized Digital Adoption Index. TP (Model 2) = 83.0%; Lind-Mehlum p = .301. DAI moderation joint F(2, 607) = 3.38, p = .035.</w:t>
      </w:r>
    </w:p>
    <w:p>
      <w:r>
        <w:br w:type="page"/>
      </w:r>
    </w:p>
    <w:p>
      <w:pPr>
        <w:pStyle w:val="Heading2"/>
      </w:pPr>
      <w:r>
        <w:t>Table 3. Marginal Effect of DAI across Export Intensity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FSTS (%)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Marginal Effect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SE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95% CI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p-value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0.073†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[-0.004, 0.151]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0.0643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0.017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0.051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[-0.082, 0.116]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0.7381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0.079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[-0.179, 0.131]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0.7585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0.107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[-0.260, 0.159]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0.6378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0.132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[-0.320, 0.197]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-0.038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[-0.371, 0.295]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0.8226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0.190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0.224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[-0.248, 0.628]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0.3959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0.660*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0.322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[0.028, 1.292]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0.0410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1.818**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0.695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[0.455, 3.181]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0.0091</w:t>
            </w:r>
          </w:p>
        </w:tc>
      </w:tr>
    </w:tbl>
    <w:p>
      <w:r>
        <w:rPr>
          <w:b/>
        </w:rPr>
        <w:t xml:space="preserve">Notes: </w:t>
      </w:r>
      <w:r>
        <w:rPr>
          <w:sz w:val="16"/>
        </w:rPr>
        <w:t>ME = ∂Ln(LP)/∂DAI. Zero-crossings at FSTS ≈ 7% and 35%. From Model (7).</w:t>
      </w:r>
    </w:p>
    <w:p>
      <w:r>
        <w:br w:type="page"/>
      </w:r>
    </w:p>
    <w:p>
      <w:pPr>
        <w:pStyle w:val="Heading2"/>
      </w:pPr>
      <w:r>
        <w:t>Figure 1. Marginal Effect of Digital Adoption across Export Intensity</w:t>
      </w:r>
    </w:p>
    <w:p>
      <w:r>
        <w:drawing>
          <wp:inline xmlns:a="http://schemas.openxmlformats.org/drawingml/2006/main" xmlns:pic="http://schemas.openxmlformats.org/drawingml/2006/picture">
            <wp:extent cx="5029200" cy="3544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DAI_Marginal_Effe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4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Notes: </w:t>
      </w:r>
      <w:r>
        <w:rPr>
          <w:sz w:val="16"/>
        </w:rPr>
        <w:t>Solid line = marginal effect of one SD increase in DAI. Shaded area = 95% CI. Coordination trough at FSTS 7–35% (shallow, ns). Scale economies significant at FSTS &gt; 70%.</w:t>
      </w:r>
    </w:p>
    <w:p>
      <w:r>
        <w:br w:type="page"/>
      </w:r>
    </w:p>
    <w:p>
      <w:pPr>
        <w:pStyle w:val="Heading2"/>
      </w:pPr>
      <w:r>
        <w:t>Figure 2. Internationalization–Performance Relationship</w:t>
      </w:r>
    </w:p>
    <w:p>
      <w:r>
        <w:drawing>
          <wp:inline xmlns:a="http://schemas.openxmlformats.org/drawingml/2006/main" xmlns:pic="http://schemas.openxmlformats.org/drawingml/2006/picture">
            <wp:extent cx="5029200" cy="35464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IP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4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Notes: </w:t>
      </w:r>
      <w:r>
        <w:rPr>
          <w:sz w:val="16"/>
        </w:rPr>
        <w:t>Predicted values from Model (2) at sample means of controls. TP = 83%. Lind-Mehlum p = .301. Gray dots = observed values (N = 623).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