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t>Dear Editor,</w:t>
      </w:r>
    </w:p>
    <w:p>
      <w:pPr>
        <w:spacing w:after="240"/>
      </w:pPr>
      <w:r>
        <w:t>Please consider the enclosed manuscript, “Technological Capability, Digital Adoption, and the Internationalization–Performance Relationship: A Firm-Level Study of Singapore,” for possible publication in Management International Review.</w:t>
      </w:r>
    </w:p>
    <w:p>
      <w:pPr>
        <w:spacing w:after="240"/>
      </w:pPr>
      <w:r>
        <w:t>We confirm that this manuscript has not been published elsewhere and is not under consideration by another journal. All authors have approved the manuscript and agree with its submission to Management International Review.</w:t>
      </w:r>
    </w:p>
    <w:p>
      <w:pPr>
        <w:spacing w:after="240"/>
      </w:pPr>
      <w:r>
        <w:t>This manuscript examines how technological capability and digital adoption shape the internationalization–performance relationship in a digitally mature institutional environment. Using World Bank Enterprise Survey microdata for Singapore 2023 (N = 623), the study develops a two-construct measurement architecture that distinguishes a Technological Capability Index (TCI) from a Digital Adoption Index (DAI), thereby separating firm-internal capability depth from foundational digital interfaces and transaction-enabling mechanisms.</w:t>
      </w:r>
    </w:p>
    <w:p>
      <w:pPr>
        <w:spacing w:after="240"/>
      </w:pPr>
      <w:r>
        <w:t>The manuscript makes three contributions. First, it refines the boundary conditions of the internationalization–performance literature by showing that the classic right-side decline of the curve is not formally identified within the observed export-intensity range in Singapore. Rather than challenging the established nonlinear literature, the findings suggest that, in a extreme-case Singapore setting, the right-side decline may be attenuated or shifted toward sparsely populated levels of export intensity.</w:t>
      </w:r>
    </w:p>
    <w:p>
      <w:pPr>
        <w:spacing w:after="240"/>
      </w:pPr>
      <w:r>
        <w:t>Second, the study sharpens construct validity in digital international business research by distinguishing technological capability from digital adoption rather than combining them into a single umbrella construct. This distinction is important because the two constructs capture analytically different sources of firm heterogeneity: technological capability reflects internal capability depth, whereas digital adoption reflects firms’ uptake of foundational digital interfaces and transaction-enabling mechanisms.</w:t>
      </w:r>
    </w:p>
    <w:p>
      <w:pPr>
        <w:spacing w:after="240"/>
      </w:pPr>
      <w:r>
        <w:t>Third, the manuscript shows that digital adoption in a digitally mature economy is better understood as a scale-enabling complement than as a uniform firm-level productivity premium. Its productivity relevance becomes more positive at higher levels of export intensity, where firms face denser cross-border coordination, information-processing, and transaction demands.</w:t>
      </w:r>
    </w:p>
    <w:p>
      <w:pPr>
        <w:spacing w:after="240"/>
      </w:pPr>
      <w:r>
        <w:t>The manuscript is likely to be of interest to MIR readers concerned with internationalization, firm performance, digital strategy, and the boundary conditions under which established international business relationships travel to digitally mature contexts.</w:t>
      </w:r>
    </w:p>
    <w:p>
      <w:pPr>
        <w:spacing w:after="240"/>
      </w:pPr>
      <w:r>
        <w:t>Thank you for your consideration.</w:t>
      </w:r>
    </w:p>
    <w:p>
      <w:pPr>
        <w:spacing w:after="240"/>
      </w:pPr>
      <w:r>
        <w:t>Sincerely,</w:t>
      </w:r>
    </w:p>
    <w:p>
      <w:pPr>
        <w:spacing w:after="240"/>
      </w:pPr>
      <w:r>
        <w:t>[Author name]</w:t>
      </w:r>
    </w:p>
    <w:p>
      <w:pPr>
        <w:spacing w:after="240"/>
      </w:pPr>
      <w:r>
        <w:t>[Affiliation]</w:t>
      </w:r>
    </w:p>
    <w:p>
      <w:pPr>
        <w:spacing w:after="240"/>
      </w:pPr>
      <w: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