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shape the internationalization–performance relationship in Singapore, treated as an extreme-case, within-context setting of a digitally mature economy. Using World Bank Enterprise Survey microdata for Singapore 2023 (N = 623),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the full-sample inverted-U shape is robust (96.3% of bootstrap replications) but its location is loosely identified (95% bootstrap CI for the turning point: [53%, 253%]). Within an extensive–intensive split addressing the dominance of zero-FSTS firms (82% of the sample), curvature is not detectable inside the exporter subsample, so the full-sample polynomial reads as a descriptive baseline rather than a structurally identified curve. Second, TCI is positively and consistently associated with productivity across leave-one-out and trimmed-tail perturbations; no distinguishable moderation by TCI is detected. Third, DAI shows a conditional rather than uniform productivity association: it becomes more positive at higher export intensity, and the moderation pattern survives leave-one-out, item-swap falsification, and trimmed-tail re-estimation. The study contributes refined boundary conditions for the internationalization–performance literature in Singapore as an extreme-case setting, clarifying that TCI shifts the productivity level while DAI complements export-intensity scaling.</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mature economies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the dominant measurement approach has often conflated digital adoption with broader technological capability, making it difficult to determine whether observed productivity differences reflect firm-internal capability depth or firms’ participation in digitally enabled interfaces and transactions (Verhoef et al. 2021). This matters because the two domains imply different mechanisms of advantage and should not be assumed to operate identically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recent work on digital internationalization has advanced important theoretical insights (Banalieva &amp; Dhanaraj 2019; Stallkamp &amp; Schotter 2021), much of it remains conceptual or focused on multinational samples, leaving under-examined the within-economy firm-level question of how foundational digital adoption interacts with export intensity in a single digitally mature institutional environment. In particular, the literature still lacks clear firm-level evidence on whether basic digital presence and transaction-enabling systems matter uniformly across firms or mainly when cross-border coordination demands intensify (Bharadwaj et al. 2013; Verhoef et al. 2021).</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I–P literature has documented inverted-U patterns extensively, but it has not clearly specified how its coordination-cost logic should behave in digitally mature settings (Marano et al. 2016). If mature digital infrastructure attenuates the frictions that underpin the right-side decline of the I–P curve, then the conventional turning point may no longer be visible within the export range most firms actually occupy. This leaves an unresolved boundary-condition question: does digital maturity alter the form of the I–P relationship itself, or does it mainly shift the region in which its nonlinear structure becomes observable?</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refine the boundary conditions of the internationalization–performance literature by showing that, in Singapore 2023, the classic right-side decline of the I–P curve is not formally identified within the observed export-intensity range and appears to be shifted toward a sparsely populated upper tail. In doing so, the study qualifies rather than overturns the conventional nonlinear I–P logic summarized in prior meta-analytic work (Marano et al. 2016).</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measurement-theoretic. The analysis distinguishes technological capability from digital adoption, thereby separating firm-internal capability depth grounded in technological learning and absorptive capacity from foundational digitally enabled market participation (Cohen &amp; Levinthal 1990; Lall 1992; Verhoef et al. 2021). The second supporting contribution is substantive. The findings show that foundational digital adoption is better understood as a scale-enabling complement whose productivity relevance becomes stronger at higher export intensity, rather than as a uniform firm-level productivity premium, which is consistent with the broader logic of digital strategy and digitally mediated coordination (Bharadwaj et al. 2013; Verhoef et al. 2021).</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 xml:space="preserve">A boundary condition implicit in this literature, but rarely articulated, is that the inverted-U requires a coordination-cost mechanism that scales with internationalization intensity. If a firm operates in an institutional environment where coordination costs have already been substantially attenuated — for example, by mature cross-border digital infrastructure — the right-side decline of the inverted-U may be flattened or shifted to levels of internationalization that are sparsely represented in the observed FSTS distribution. Singapore is a natural setting in which to examine how these boundary conditions operate at the firm level.</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 xml:space="preserve">A subtler prediction emerges from Rugman and Verbeke's (2004) non-location-bound firm-specific advantage (NLB-FSA) logic. Technological capabilities are firm-specific advantages that are recombinable across borders without significant adaptation cost. While TCI should raise the productivity intercept (H1), it should not interact with internationalization intensity to shift the I–P curvature, because the underlying capability depth is similarly available to the firm at all stages of export expansion.</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2 (H2). Technological capability (TCI) is positively associated with labour productivity in Singapore. Whether TCI also moderates the curvature of the internationalization–performance relationship is treated as an open empirical question; the present design tests for, but does not presume, a moderation channel.</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should generate productivity returns through reduced transaction costs, faster information flow, and broader market reach (Bharadwaj et al. 2013; Verhoef et al. 2021). The magnitude of these returns, however, is unlikely to be uniform across firms. Tier 1–2 digital adoption (digital presence and electronic-transaction capability) primarily enables firms to scale existing operations through digital channels rather than to create capability depth de novo (Verhoef et al. 2021). The productivity payoff of such adoption should therefore depend on the extent to which the firm operates at scales where these scale-enabling features can be exercised intensively. In a digitally mature economy, where cross-border digital infrastructure is mature, the average DAI–productivity association is expected to be positive but modest at the unconditional mean, with most of the productivity premium materializing in firms whose operating scale — in particular, their cross-border activity — provides sufficient throughput for digital channels to be exploited efficiently. We therefore frame H3 as a directional but conditional claim, reserving the explicit moderation prediction for H4.</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on export intensity rather than uniform across firms. Specifically, foundational digital adoption is expected to complement the productivity returns to higher levels of export intensity; the moderation pattern is formally tested in H4.</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theoretically novel prediction concerns how digital adoption interacts with export intensity in a digitally mature institutional environment. In such settings, digital infrastructure may no longer generate a uniform productivity premium across all firms because basic digital functionality is already widely available. Its value may instead become more contingent on the scale and complexity of cross-border operations. Firms with high export intensity face greater coordination, transaction, and information-processing demands across markets, making digital adoption more valuable as a scale-enabling complement (Brynjolfsson et al. 2021). By contrast, firms with low export intensity may realize weaker productivity benefits because they have fewer opportunities to amortize digital investments across international operations. The relationship is expected to be nonlinear, with digital adoption's productivity returns concentrated at the upper end of internationalization rather than uniformly distributed across export intensity. The marginal productivity of digital adoption is thus contingent on the extent to which cross-border complexity makes digital systems economically consequential. We therefore hypothesize:</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4 (H4). </w:t>
      </w:r>
      <w:r>
        <w:rPr>
          <w:rFonts w:ascii="Times New Roman" w:cs="Times New Roman" w:eastAsia="Times New Roman" w:hAnsi="Times New Roman"/>
          <w:i w:val="1"/>
          <w:iCs w:val="1"/>
          <w:sz w:val="20"/>
          <w:szCs w:val="20"/>
          <w:rtl w:val="0"/>
        </w:rPr>
        <w:t xml:space="preserve">The association between digital adoption (DAI) and firm performance becomes more positive at higher levels of export intensity in Singapore.</w:t>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represents TCI and DAI as analytically distinct firm-level constructs, each with a directional association with firm performance (H1 and H3). TCI is theorized to operate as a level-shift effect on the productivity intercept rather than as a curvature-shaping moderator (H2), whereas DAI is theorized to interact with export intensity such that its productivity association strengthens at higher levels of FSTS (H4). H3 and H4 are jointly informative: H3 specifies the average directional association, and H4 specifies the contingency that governs its magnitude. The whole model is positioned within a extreme-case, within-context setting of a digitally mature economy.</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Technological capability, digital adoption, and the internationalization–performance relationship in a extreme-case Singapore setting.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baseline, direct-effect models for TCI and DAI, and full specifications that incorporate moderation terms. The baseline quadratic specification evaluates whether the internationalization–performance relationship follows the conventional inverted-U logic, while the later specifications test whether TCI and DAI play distinct direct and contingent roles.</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t>The identification scope of the study is explicitly associational rather than causal, in line with the disciplined causal-language conventions advocated for international business and strategy research (Antonakis et al. 2010; Meyer et al. 2017; Shaver 2020). Because the design is cross-sectional, the analysis cannot rule out reverse causation or omitted-variable bias in the observed relationships among productivity, export intensity, technological capability, and digital adoption. For that reason, the manuscript should consistently use language such as “is associated with,” “is consistent with,” and “supports” rather than causal wording.</w:t>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(β = 2.652, SE = 0.691, p &lt; .001), while the squared FSTS term is negative and only marginally significant (β = −1.705, SE = 0.931, p = .067). The fitted curve therefore implies a turning point at very high export intensity, around FSTS 82% on the original scale; a 5,000-replication cluster bootstrap places the 95% percentile confidence interval for this turning point at [53%, 253%] (median 80%, IQR [68%, 102%]), while recovering an inverted-U *shape* in 96.3% of bootstrap replications. The shape is therefore robustly inverted-U, but its precise location is only loosely identified, and the implied turning point should be treated as a descriptive feature rather than as structurally identified evidence of a conventional inverted-U.</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The formal Lind–Mehlum test fails to reject monotonicity, with p = .303. Following the interpretation already developed in the revision package, the internationalization–performance relationship is therefore better characterized as predominantly monotonic positive with mild quadratic curvature within the observed export-intensity range. This framing is important because it qualifies, rather than overturns, the classic nonlinear literature: the right-side decline may exist in principle, but in a digitally mature institutional setting it appears attenuated or shifted into a sparsely populated upper tail.</w:t>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interpret TCI primarily as a level-shift effect on the productivity intercept rather than as a curvature-shaping moderator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The manuscript should therefore state the DAI finding in conditional terms. In Singapore’s digitally mature setting, foundational digital adoption appears to function less as a universal productivity lever and more as a scale-enabling complement for firms facing denser cross-border coordination demands. That interpretation is also fully consistent with the construct boundary established earlier, because the observed effect concerns Tier 1–2 digital adoption rather than deeper digitally integrated organizational capability.</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extreme-case Singapore setting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in a digitally mature setting.</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appears to operate as a non-location-bound firm-specific advantage (Rugman &amp; Verbeke 2004) that raises the productivity intercept but does not systematically reshape the curvature of the internationalization–performance relationship. This pattern is consistent with the view that internal capability depth can improve how efficiently firms operate across markets without necessarily altering the coordination-cost dynamics that generate nonlinearity in the I–P relationship.</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present evidence qualifies rather than overturns the conventional nonlinear I–P literature (Contractor et al. 2003; Hitt et al. 1997; Lu &amp; Beamish 2004; Marano et al. 2016). The baseline relationship remains mildly curved, but the negative right-hand side of the curve is not formally established within the observed export-intensity range. A useful interpretation is that, in a extreme-case Singapore setting, cross-border coordination costs do not disappear; instead, they are partially reallocated. Mature digital infrastructure reduces basic communication, transaction, and information frictions, which can flatten the right-side decline of the curve within the export-intensity range most firms actually occupy. Under such conditions, the classic inverted-U may still exist in principle, but its turning point is shifted toward the extreme upper tail of internationalization, where empirical observations are sparse in the present sample. This reading positions the contribution as a boundary-condition refinement rather than a competing claim: the I–P curvature documented in earlier samples drawn primarily from pre-digital and transitional-digital economies may not generalize to extreme-case Singapore settings without explicit specification of the digital-infrastructure boundary under which it holds.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digital adoption in a digitally mature economy is best understood as a conditional scaling complement rather than as a universal productivity premium. When basic digital infrastructure is already widespread, digital adoption is less likely to differentiate firms uniformly across the full export-intensity distribution. Its productivity relevance becomes stronger when firms reach high export intensity, because digital interfaces and transaction systems can then be amortized across a larger volume of cross-border exchanges, denser information flows, and more demanding multi-market coordination tasks. This interpretation also clarifies why the construct should be labeled digital adoption rather than digital capability. The available WBES indicators capture firms’ uptake of digital interfaces and transaction-enabling mechanisms, not deeper digitally integrated organizational capabilities. Distinguishing DAI from TCI therefore does more than improve terminology; it clarifies that firm-internal capability depth and digitally enabled cross-border orchestration are analytically distinct sources of performance heterogeneity. In the present setting, the observed DAI effect should be understood as evidence about the productivity relevance of Tier 1–2 digitalization in a digitally mature economy, not as direct evidence about deeper digitally integrated organizational capability.</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operating in digitally mature settings, the findings suggest that investments in digital adoption are most strongly associated with productivity advantages when firms already operate at high export intensity. In such cases, digital interfaces, payment systems, and related transaction-enabling tools appear to function as scaling mechanisms that help firms coordinate a larger volume of cross-border activity more efficiently. For firms that are already deeply engaged in export markets, the implication is therefore strategic rather than merely symbolic: foundational digital systems seem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beneficial, but the productivity differentials appear smaller and less distinctive. In a digitally mature economy, basic digital functionality is already widespread, so adopting such tools may no longer generate a large standalone productivity premium for all firms equally. For firms in the intermediate export-intensity range, the results suggest caution in expecting immediate labour-productivity gains from digital adoption alone. The evidence does not indicate a strong penalty in this range, but neither does it indicate reliably large gains. Managerially, this implies that digital adoption in this segment should be aligned with broader strategic objectives such as market access, customer integration, supplier coordination, and future export scaling rather than justified only on the basis of short-run productivity returns.</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digital adoption seem to become especially valuable when firms face the coordination intensity associated with deeper internationalization. For managerial decision making, this means that capability-building and digitalization strategies should be sequenced and matched to the firm’s actual stage of export expansion rather than pursued as a single undifferentiated digital 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in a digitally mature economy by distinguishing technological capability from digital adoption and examining how each relates to labour productivity in Singapore. Using World Bank Enterprise Survey microdata for Singapore 2023, the analysis shows that technological capability is positively associated with productivity and operates primarily as a level-shift effect, whereas digital adoption shows conditional relevance that becomes more positive at higher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findings also refine the interpretation of the nonlinear I–P literature in digitally mature settings. Within the observed export-intensity range, the baseline pattern is best characterized as predominantly monotonic positive with mild quadratic curvature rather than as a formally identified inverted-U. Read in this way, the evidence does not overturn the established I–P literature, but instead suggests that, in digitally mature economies, the right-side decline of the curve may be attenuated or shifted toward sparsely populated levels of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validity and clarifying a boundary condition of digital internationalization. Technological capability appears to capture firm-internal capability depth, whereas foundational digital adoption is better understood as a contingent scaling resource whose productivity relevance becomes more visible as cross-border coordination demands increase.</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a single-country cross-section,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read the present results as extreme-case, within-context evidence from Singapore: the estimated patterns describe how productivity, technological capability, and digital adoption co-move with export intensity in a digitally mature economy, while leaving causal identification of any specific mechanism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82.2% of firms report zero exports, 4.5% exceed 50% export intensity, and only 3.2% exceed 70%. Two consequences follow. First, the implied quadratic turning point at 82% on the FSTS scale is identified from a sparsely populated region; 5,000-replication cluster bootstrap places the 95% percentile confidence interval at [53%, 253%], so the turning point is best read as an indicative descriptive feature rather than a structurally identified inflection — the inverted-U *shape* is robust (recovered in 96.3% of bootstrap replications) but its *location* is imprecise. Second, the DAI moderation pattern attains conventional joint significance in the full-sample, leave-one-out (100% of LOO fits), and trimmed-tail re-estimations (drop FSTS &gt; 70%: F = 5.51, p = .004; drop FSTS &gt; 80%: F = 4.42, p = .012); within the exporter-only subsample (N = 84) the joint F-test for DAI moderation remains significant (F = 6.32, p = .003) but the 95% confidence intervals for individual coefficients are wider, reflecting the small subsample size rather than a fragile underlying pattern. The appropriate caution therefore rests on (i) the thin upper-tail support for the precise location of the turning point and (ii) the borderline precision of individual moderation coefficients in the small exporter subsample, not on differences in adjusted R² across samples of unequal size and composition.</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and the present results should be read as an initial firm-level test of a conditional digital-adoption argument in one digitally mature setting rather than as definitive evidence of a generalized pattern across digitally mature economies. The DAI indicators available in WBES 2023 capture Tier 1–2 digital adoption — digital presence and digital transaction usage — rather than Tier 3–4 digital capability or dynamic capability; indicator-sensitivity analysis shows that the moderation pattern depends on the foundational digital-infrastructure indicators (firm website and electronic-payment-to-suppliers usage) and weakens when these specific indicators are dropped.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Technological capability, digital adoption, and the internationalization–performance relationship in a extreme-case Singapore setting. Solid arrows denote direct effects (H1, H3), whereas dashed arrows denote moderation effects (H2, H4). The moderation arrows should be interpreted as acting on the internationalization–performance path rather than as direct antecedents of FSTS.</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effects of digital adoption across export intensity. Marginal effect estimates of DAI on labour productivity across the FSTS distribution with 95% confidence intervals from Model M8. The figure shows that the productivity association of DAI is weak across much of the low-to-middle export range but becomes more positive in the high-export tail.</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baseline quadratic specification. The implied turning point occurs at FSTS 82.4 on the original scale, but this point lies in a sparsely populated upper tail and should therefore be interpreted as descriptive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