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v5.6 — IJoEM submission draft with audited references and recent IB literature (Vietnam 2009/2015/2023)</w:t>
      </w:r>
    </w:p>
    <w:p>
      <w:pPr>
        <w:pStyle w:val="Date"/>
      </w:pPr>
      <w:r>
        <w:t>2026-05-02</w:t>
      </w:r>
    </w:p>
    <w:p>
      <w:pPr>
        <w:pStyle w:val="Author"/>
      </w:pPr>
      <w:r>
        <w:t>Do Thuy Huong</w:t>
      </w:r>
    </w:p>
    <w:p>
      <w:pPr>
        <w:pStyle w:val="BodyText"/>
      </w:pPr>
      <w:r>
        <w:t>PhD Candidate, College of Economics, Can Tho University, Can Tho, Vietnam. E-mail: huongp1323001@gstudent.ctu.edu.vn. ORCID: https://orcid.org/0000-0002-7711-2487.</w:t>
      </w:r>
    </w:p>
    <w:p>
      <w:pPr>
        <w:pStyle w:val="Author"/>
      </w:pPr>
      <w:r>
        <w:t>Phan Anh Tu (corresponding author)</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(Wright et al., 2005; Cuervo-Cazurra and Genc, 2008; Wu et al., 2016).</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Coviello et al., 2017;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Vial, 2019;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Hanelt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 Banalieva and Dhanaraj, 2019).</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BodyText"/>
      </w:pPr>
      <w:r>
        <w:t>Figure 1. Conceptual model. The independent variable (internationalisation, FSTS_c and FSTS_c²) and the dependent variable (firm performance, ln labour productivity) anchor the IV–DV spine. Technological capability (TCI_z) and digital adoption (DAI_z) operate as moderators of the curvature; controls are firm size (lnEmp), firm age (FirmAge), foreign ownership (ForeignOwned), broad sector fixed effects, and wave fixed effects in the pooled specification. Source: World Bank Enterprise Surveys (https://www.enterprisesurveys.org); authors’ calculations on the 2009, 2015 and 2023 Vietnam waves.</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Nambisan et al., 2019).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World Bank Enterprise Surveys (https://www.enterprisesurveys.org); authors’ calculations on the Vietnam 2009, 2015 and 2023 waves. Replication output: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 Source: World Bank Enterprise Surveys (https://www.enterprisesurveys.org); authors’ calculations.</w:t>
      </w:r>
    </w:p>
    <w:p>
      <w:r>
        <w:drawing>
          <wp:inline>
            <wp:extent cx="5486400" cy="3657600"/>
            <wp:docPr id="2" name="Picture 2"/>
            <wp:cNvGraphicFramePr>
              <a:graphicFrameLocks noChangeAspect="1"/>
            </wp:cNvGraphicFramePr>
            <a:graphic>
              <a:graphicData uri="http://schemas.openxmlformats.org/drawingml/2006/picture">
                <pic:pic>
                  <pic:nvPicPr>
                    <pic:cNvPr id="0" name="figure_2a.png"/>
                    <pic:cNvPicPr/>
                  </pic:nvPicPr>
                  <pic:blipFill>
                    <a:blip r:embed="rId10"/>
                    <a:stretch>
                      <a:fillRect/>
                    </a:stretch>
                  </pic:blipFill>
                  <pic:spPr>
                    <a:xfrm>
                      <a:off x="0" y="0"/>
                      <a:ext cx="5486400" cy="3657600"/>
                    </a:xfrm>
                    <a:prstGeom prst="rect"/>
                  </pic:spPr>
                </pic:pic>
              </a:graphicData>
            </a:graphic>
          </wp:inline>
        </w:drawing>
      </w:r>
    </w:p>
    <w:p>
      <w:pPr>
        <w:pStyle w:val="BodyText"/>
      </w:pPr>
      <w:r>
        <w:t>Figure 2a. Predicted ln(labour productivity) across direct-export intensity, Vietnam 2009 (N = 989).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3" name="Picture 3"/>
            <wp:cNvGraphicFramePr>
              <a:graphicFrameLocks noChangeAspect="1"/>
            </wp:cNvGraphicFramePr>
            <a:graphic>
              <a:graphicData uri="http://schemas.openxmlformats.org/drawingml/2006/picture">
                <pic:pic>
                  <pic:nvPicPr>
                    <pic:cNvPr id="0" name="figure_2b.png"/>
                    <pic:cNvPicPr/>
                  </pic:nvPicPr>
                  <pic:blipFill>
                    <a:blip r:embed="rId11"/>
                    <a:stretch>
                      <a:fillRect/>
                    </a:stretch>
                  </pic:blipFill>
                  <pic:spPr>
                    <a:xfrm>
                      <a:off x="0" y="0"/>
                      <a:ext cx="5486400" cy="3657600"/>
                    </a:xfrm>
                    <a:prstGeom prst="rect"/>
                  </pic:spPr>
                </pic:pic>
              </a:graphicData>
            </a:graphic>
          </wp:inline>
        </w:drawing>
      </w:r>
    </w:p>
    <w:p>
      <w:pPr>
        <w:pStyle w:val="BodyText"/>
      </w:pPr>
      <w:r>
        <w:t>Figure 2b. Predicted ln(labour productivity) across direct-export intensity, Vietnam 2015 (N = 956).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4" name="Picture 4"/>
            <wp:cNvGraphicFramePr>
              <a:graphicFrameLocks noChangeAspect="1"/>
            </wp:cNvGraphicFramePr>
            <a:graphic>
              <a:graphicData uri="http://schemas.openxmlformats.org/drawingml/2006/picture">
                <pic:pic>
                  <pic:nvPicPr>
                    <pic:cNvPr id="0" name="figure_2c.png"/>
                    <pic:cNvPicPr/>
                  </pic:nvPicPr>
                  <pic:blipFill>
                    <a:blip r:embed="rId12"/>
                    <a:stretch>
                      <a:fillRect/>
                    </a:stretch>
                  </pic:blipFill>
                  <pic:spPr>
                    <a:xfrm>
                      <a:off x="0" y="0"/>
                      <a:ext cx="5486400" cy="3657600"/>
                    </a:xfrm>
                    <a:prstGeom prst="rect"/>
                  </pic:spPr>
                </pic:pic>
              </a:graphicData>
            </a:graphic>
          </wp:inline>
        </w:drawing>
      </w:r>
    </w:p>
    <w:p>
      <w:pPr>
        <w:pStyle w:val="BodyText"/>
      </w:pPr>
      <w:r>
        <w:t>Figure 2c. Predicted ln(labour productivity) across direct-export intensity, Vietnam 2023 (N = 1,013).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5" name="Picture 5"/>
            <wp:cNvGraphicFramePr>
              <a:graphicFrameLocks noChangeAspect="1"/>
            </wp:cNvGraphicFramePr>
            <a:graphic>
              <a:graphicData uri="http://schemas.openxmlformats.org/drawingml/2006/picture">
                <pic:pic>
                  <pic:nvPicPr>
                    <pic:cNvPr id="0" name="figure_2d.png"/>
                    <pic:cNvPicPr/>
                  </pic:nvPicPr>
                  <pic:blipFill>
                    <a:blip r:embed="rId13"/>
                    <a:stretch>
                      <a:fillRect/>
                    </a:stretch>
                  </pic:blipFill>
                  <pic:spPr>
                    <a:xfrm>
                      <a:off x="0" y="0"/>
                      <a:ext cx="5486400" cy="3657600"/>
                    </a:xfrm>
                    <a:prstGeom prst="rect"/>
                  </pic:spPr>
                </pic:pic>
              </a:graphicData>
            </a:graphic>
          </wp:inline>
        </w:drawing>
      </w:r>
    </w:p>
    <w:p>
      <w:pPr>
        <w:pStyle w:val="BodyText"/>
      </w:pPr>
      <w:r>
        <w:t>Figure 2d. Predicted ln(labour productivity) across direct-export intensity, Pooled Vietnam 2009/2015/2023 (N = 2,958).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FirstParagraph"/>
      </w:pPr>
      <w:r>
        <w:t>Table 3 collates the robustness panels documented in §4.5 in a single overview to ease cross-comparison.</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t>Panel / Sample</w:t>
            </w:r>
          </w:p>
        </w:tc>
        <w:tc>
          <w:tcPr>
            <w:tcW w:type="dxa" w:w="2340"/>
          </w:tcPr>
          <w:p>
            <w:r>
              <w:t>N</w:t>
            </w:r>
          </w:p>
        </w:tc>
        <w:tc>
          <w:tcPr>
            <w:tcW w:type="dxa" w:w="2340"/>
          </w:tcPr>
          <w:p>
            <w:r>
              <w:t>Focal coefficient</w:t>
            </w:r>
          </w:p>
        </w:tc>
        <w:tc>
          <w:tcPr>
            <w:tcW w:type="dxa" w:w="2340"/>
          </w:tcPr>
          <w:p>
            <w:r>
              <w:t>Joint test</w:t>
            </w:r>
          </w:p>
        </w:tc>
      </w:tr>
      <w:tr>
        <w:tc>
          <w:tcPr>
            <w:tcW w:type="dxa" w:w="2340"/>
          </w:tcPr>
          <w:p>
            <w:r>
              <w:t>A. TCI_full direct (2015)</w:t>
            </w:r>
          </w:p>
        </w:tc>
        <w:tc>
          <w:tcPr>
            <w:tcW w:type="dxa" w:w="2340"/>
          </w:tcPr>
          <w:p>
            <w:r>
              <w:t>956</w:t>
            </w:r>
          </w:p>
        </w:tc>
        <w:tc>
          <w:tcPr>
            <w:tcW w:type="dxa" w:w="2340"/>
          </w:tcPr>
          <w:p>
            <w:r>
              <w:t>TCI_full_z = 0.056 (p = .253) n.s.; DAI_z = −0.033 n.s.</w:t>
            </w:r>
          </w:p>
        </w:tc>
        <w:tc>
          <w:tcPr>
            <w:tcW w:type="dxa" w:w="2340"/>
          </w:tcPr>
          <w:p>
            <w:r>
              <w:t>M3 joint p = .492 n.s.</w:t>
            </w:r>
          </w:p>
        </w:tc>
      </w:tr>
      <w:tr>
        <w:tc>
          <w:tcPr>
            <w:tcW w:type="dxa" w:w="2340"/>
          </w:tcPr>
          <w:p>
            <w:r>
              <w:t>A. TCI_full direct (2023)</w:t>
            </w:r>
          </w:p>
        </w:tc>
        <w:tc>
          <w:tcPr>
            <w:tcW w:type="dxa" w:w="2340"/>
          </w:tcPr>
          <w:p>
            <w:r>
              <w:t>1,013</w:t>
            </w:r>
          </w:p>
        </w:tc>
        <w:tc>
          <w:tcPr>
            <w:tcW w:type="dxa" w:w="2340"/>
          </w:tcPr>
          <w:p>
            <w:r>
              <w:t>TCI_full_z = 0.096 (p = .024) *; DAI_z = 0.097 (p = .037) *</w:t>
            </w:r>
          </w:p>
        </w:tc>
        <w:tc>
          <w:tcPr>
            <w:tcW w:type="dxa" w:w="2340"/>
          </w:tcPr>
          <w:p>
            <w:r>
              <w:t>M3 joint p = .152 n.s.</w:t>
            </w:r>
          </w:p>
        </w:tc>
      </w:tr>
      <w:tr>
        <w:tc>
          <w:tcPr>
            <w:tcW w:type="dxa" w:w="2340"/>
          </w:tcPr>
          <w:p>
            <w:r>
              <w:t>B. DAI_rich continuous (2023)</w:t>
            </w:r>
          </w:p>
        </w:tc>
        <w:tc>
          <w:tcPr>
            <w:tcW w:type="dxa" w:w="2340"/>
          </w:tcPr>
          <w:p>
            <w:r>
              <w:t>1,013</w:t>
            </w:r>
          </w:p>
        </w:tc>
        <w:tc>
          <w:tcPr>
            <w:tcW w:type="dxa" w:w="2340"/>
          </w:tcPr>
          <w:p>
            <w:r>
              <w:t>FSTS_c × DAI_rich_cont_z = −0.933 (p = .076) †</w:t>
            </w:r>
          </w:p>
        </w:tc>
        <w:tc>
          <w:tcPr>
            <w:tcW w:type="dxa" w:w="2340"/>
          </w:tcPr>
          <w:p>
            <w:r>
              <w:t>M8 joint p = .099 †</w:t>
            </w:r>
          </w:p>
        </w:tc>
      </w:tr>
      <w:tr>
        <w:tc>
          <w:tcPr>
            <w:tcW w:type="dxa" w:w="2340"/>
          </w:tcPr>
          <w:p>
            <w:r>
              <w:t>B. DAI_rich binary (2023)</w:t>
            </w:r>
          </w:p>
        </w:tc>
        <w:tc>
          <w:tcPr>
            <w:tcW w:type="dxa" w:w="2340"/>
          </w:tcPr>
          <w:p>
            <w:r>
              <w:t>1,013</w:t>
            </w:r>
          </w:p>
        </w:tc>
        <w:tc>
          <w:tcPr>
            <w:tcW w:type="dxa" w:w="2340"/>
          </w:tcPr>
          <w:p>
            <w:r>
              <w:t>FSTS_c × DAI_rich_bin_z = −0.893 (p = .169) n.s.</w:t>
            </w:r>
          </w:p>
        </w:tc>
        <w:tc>
          <w:tcPr>
            <w:tcW w:type="dxa" w:w="2340"/>
          </w:tcPr>
          <w:p>
            <w:r>
              <w:t>M8 joint p = .243 n.s.</w:t>
            </w:r>
          </w:p>
        </w:tc>
      </w:tr>
      <w:tr>
        <w:tc>
          <w:tcPr>
            <w:tcW w:type="dxa" w:w="2340"/>
          </w:tcPr>
          <w:p>
            <w:r>
              <w:t>C. Common-N comparison (2023)</w:t>
            </w:r>
          </w:p>
        </w:tc>
        <w:tc>
          <w:tcPr>
            <w:tcW w:type="dxa" w:w="2340"/>
          </w:tcPr>
          <w:p>
            <w:r>
              <w:t>1,013</w:t>
            </w:r>
          </w:p>
        </w:tc>
        <w:tc>
          <w:tcPr>
            <w:tcW w:type="dxa" w:w="2340"/>
          </w:tcPr>
          <w:p>
            <w:r>
              <w:t>DAI_z moderation re-estimated on DAI_rich sample</w:t>
            </w:r>
          </w:p>
        </w:tc>
        <w:tc>
          <w:tcPr>
            <w:tcW w:type="dxa" w:w="2340"/>
          </w:tcPr>
          <w:p>
            <w:r>
              <w:t>M8 joint p = .013 *</w:t>
            </w:r>
          </w:p>
        </w:tc>
      </w:tr>
      <w:tr>
        <w:tc>
          <w:tcPr>
            <w:tcW w:type="dxa" w:w="2340"/>
          </w:tcPr>
          <w:p>
            <w:r>
              <w:t>D. Micro-firm exclusion (l1 ≥ 10)</w:t>
            </w:r>
          </w:p>
        </w:tc>
        <w:tc>
          <w:tcPr>
            <w:tcW w:type="dxa" w:w="2340"/>
          </w:tcPr>
          <w:p>
            <w:r>
              <w:t>2,473</w:t>
            </w:r>
          </w:p>
        </w:tc>
        <w:tc>
          <w:tcPr>
            <w:tcW w:type="dxa" w:w="2340"/>
          </w:tcPr>
          <w:p>
            <w:r>
              <w:t>TCI_z = 0.188 ***; DAI_z = 0.054 n.s.</w:t>
            </w:r>
          </w:p>
        </w:tc>
        <w:tc>
          <w:tcPr>
            <w:tcW w:type="dxa" w:w="2340"/>
          </w:tcPr>
          <w:p>
            <w:r>
              <w:t>M8 joint p = .167 n.s.</w:t>
            </w:r>
          </w:p>
        </w:tc>
      </w:tr>
      <w:tr>
        <w:tc>
          <w:tcPr>
            <w:tcW w:type="dxa" w:w="2340"/>
          </w:tcPr>
          <w:p>
            <w:r>
              <w:t>G. Manufacturing (sector1 ∈ {1,2,3})</w:t>
            </w:r>
          </w:p>
        </w:tc>
        <w:tc>
          <w:tcPr>
            <w:tcW w:type="dxa" w:w="2340"/>
          </w:tcPr>
          <w:p>
            <w:r>
              <w:t>1,854</w:t>
            </w:r>
          </w:p>
        </w:tc>
        <w:tc>
          <w:tcPr>
            <w:tcW w:type="dxa" w:w="2340"/>
          </w:tcPr>
          <w:p>
            <w:r>
              <w:t>TCI_z = 0.223 ***; DAI_z = 0.087 **; FSTS_c × DAI_z = −0.543 †</w:t>
            </w:r>
          </w:p>
        </w:tc>
        <w:tc>
          <w:tcPr>
            <w:tcW w:type="dxa" w:w="2340"/>
          </w:tcPr>
          <w:p>
            <w:r>
              <w:t>M8 joint p = .103 †</w:t>
            </w:r>
          </w:p>
        </w:tc>
      </w:tr>
    </w:tbl>
    <w:p>
      <w:pPr>
        <w:pStyle w:val="BodyText"/>
      </w:pPr>
      <w:r>
        <w:t>Notes. Each row summarises one robustness panel from §4.5 estimated by OLS with HC1 robust standard errors. Significance markers: *** p &lt; .001, ** p &lt; .01, * p &lt; .05, † p &lt; .10, n.s. = not significant. Panel E (Heckman / control function) and Panel F (Paternoster cross-wave z-tests) are reported in the prose because their natural presentation is per-sample rather than per-row. Source: World Bank Enterprise Surveys (https://www.enterprisesurveys.org); authors’ calculations. Full coefficient output: p4_vietnam/output/tables/table_3_robustness.csv.</w:t>
      </w:r>
    </w:p>
    <w:p>
      <w:pPr>
        <w:pStyle w:val="FirstParagraph"/>
      </w:pPr>
      <w:r>
        <w:t>Table LM reports the implied turning points of the inverted-U specification (M2) and the Lind–Mehlum p-values for each wave and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Sample</w:t>
            </w:r>
          </w:p>
        </w:tc>
        <w:tc>
          <w:tcPr>
            <w:tcW w:type="dxa" w:w="1872"/>
          </w:tcPr>
          <w:p>
            <w:r>
              <w:t>N</w:t>
            </w:r>
          </w:p>
        </w:tc>
        <w:tc>
          <w:tcPr>
            <w:tcW w:type="dxa" w:w="1872"/>
          </w:tcPr>
          <w:p>
            <w:r>
              <w:t>Turning point (raw FSTS)</w:t>
            </w:r>
          </w:p>
        </w:tc>
        <w:tc>
          <w:tcPr>
            <w:tcW w:type="dxa" w:w="1872"/>
          </w:tcPr>
          <w:p>
            <w:r>
              <w:t>95 % delta-method CI</w:t>
            </w:r>
          </w:p>
        </w:tc>
        <w:tc>
          <w:tcPr>
            <w:tcW w:type="dxa" w:w="1872"/>
          </w:tcPr>
          <w:p>
            <w:r>
              <w:t>Lind–Mehlum p</w:t>
            </w:r>
          </w:p>
        </w:tc>
      </w:tr>
      <w:tr>
        <w:tc>
          <w:tcPr>
            <w:tcW w:type="dxa" w:w="1872"/>
          </w:tcPr>
          <w:p>
            <w:r>
              <w:t>VNM 2009</w:t>
            </w:r>
          </w:p>
        </w:tc>
        <w:tc>
          <w:tcPr>
            <w:tcW w:type="dxa" w:w="1872"/>
          </w:tcPr>
          <w:p>
            <w:r>
              <w:t>989</w:t>
            </w:r>
          </w:p>
        </w:tc>
        <w:tc>
          <w:tcPr>
            <w:tcW w:type="dxa" w:w="1872"/>
          </w:tcPr>
          <w:p>
            <w:r>
              <w:t>46.2 %</w:t>
            </w:r>
          </w:p>
        </w:tc>
        <w:tc>
          <w:tcPr>
            <w:tcW w:type="dxa" w:w="1872"/>
          </w:tcPr>
          <w:p>
            <w:r>
              <w:t>[37.4 %, 55.1 %]</w:t>
            </w:r>
          </w:p>
        </w:tc>
        <w:tc>
          <w:tcPr>
            <w:tcW w:type="dxa" w:w="1872"/>
          </w:tcPr>
          <w:p>
            <w:r>
              <w:t>.006</w:t>
            </w:r>
          </w:p>
        </w:tc>
      </w:tr>
      <w:tr>
        <w:tc>
          <w:tcPr>
            <w:tcW w:type="dxa" w:w="1872"/>
          </w:tcPr>
          <w:p>
            <w:r>
              <w:t>VNM 2015</w:t>
            </w:r>
          </w:p>
        </w:tc>
        <w:tc>
          <w:tcPr>
            <w:tcW w:type="dxa" w:w="1872"/>
          </w:tcPr>
          <w:p>
            <w:r>
              <w:t>956</w:t>
            </w:r>
          </w:p>
        </w:tc>
        <w:tc>
          <w:tcPr>
            <w:tcW w:type="dxa" w:w="1872"/>
          </w:tcPr>
          <w:p>
            <w:r>
              <w:t>39.3 %</w:t>
            </w:r>
          </w:p>
        </w:tc>
        <w:tc>
          <w:tcPr>
            <w:tcW w:type="dxa" w:w="1872"/>
          </w:tcPr>
          <w:p>
            <w:r>
              <w:t>[30.3 %, 48.4 %]</w:t>
            </w:r>
          </w:p>
        </w:tc>
        <w:tc>
          <w:tcPr>
            <w:tcW w:type="dxa" w:w="1872"/>
          </w:tcPr>
          <w:p>
            <w:r>
              <w:t>.009</w:t>
            </w:r>
          </w:p>
        </w:tc>
      </w:tr>
      <w:tr>
        <w:tc>
          <w:tcPr>
            <w:tcW w:type="dxa" w:w="1872"/>
          </w:tcPr>
          <w:p>
            <w:r>
              <w:t>VNM 2023</w:t>
            </w:r>
          </w:p>
        </w:tc>
        <w:tc>
          <w:tcPr>
            <w:tcW w:type="dxa" w:w="1872"/>
          </w:tcPr>
          <w:p>
            <w:r>
              <w:t>1,013</w:t>
            </w:r>
          </w:p>
        </w:tc>
        <w:tc>
          <w:tcPr>
            <w:tcW w:type="dxa" w:w="1872"/>
          </w:tcPr>
          <w:p>
            <w:r>
              <w:t>41.6 %</w:t>
            </w:r>
          </w:p>
        </w:tc>
        <w:tc>
          <w:tcPr>
            <w:tcW w:type="dxa" w:w="1872"/>
          </w:tcPr>
          <w:p>
            <w:r>
              <w:t>[31.7 %, 51.5 %]</w:t>
            </w:r>
          </w:p>
        </w:tc>
        <w:tc>
          <w:tcPr>
            <w:tcW w:type="dxa" w:w="1872"/>
          </w:tcPr>
          <w:p>
            <w:r>
              <w:t>.013</w:t>
            </w:r>
          </w:p>
        </w:tc>
      </w:tr>
      <w:tr>
        <w:tc>
          <w:tcPr>
            <w:tcW w:type="dxa" w:w="1872"/>
          </w:tcPr>
          <w:p>
            <w:r>
              <w:t>VNM pooled</w:t>
            </w:r>
          </w:p>
        </w:tc>
        <w:tc>
          <w:tcPr>
            <w:tcW w:type="dxa" w:w="1872"/>
          </w:tcPr>
          <w:p>
            <w:r>
              <w:t>2,958</w:t>
            </w:r>
          </w:p>
        </w:tc>
        <w:tc>
          <w:tcPr>
            <w:tcW w:type="dxa" w:w="1872"/>
          </w:tcPr>
          <w:p>
            <w:r>
              <w:t>39.7 %</w:t>
            </w:r>
          </w:p>
        </w:tc>
        <w:tc>
          <w:tcPr>
            <w:tcW w:type="dxa" w:w="1872"/>
          </w:tcPr>
          <w:p>
            <w:r>
              <w:t>[34.0 %, 45.5 %]</w:t>
            </w:r>
          </w:p>
        </w:tc>
        <w:tc>
          <w:tcPr>
            <w:tcW w:type="dxa" w:w="1872"/>
          </w:tcPr>
          <w:p>
            <w:r>
              <w:t>&lt; .001</w:t>
            </w:r>
          </w:p>
        </w:tc>
      </w:tr>
    </w:tbl>
    <w:p>
      <w:pPr>
        <w:pStyle w:val="BodyText"/>
      </w:pPr>
      <w:r>
        <w:t>Notes. Turning points are derived from the M2 inverted-U specification (lnLP = β₀ + β₁ FSTS_c + β₂ FSTS_c² + controls + sector FE [+ wave FE in pooled]) and back-transformed to the raw FSTS scale. 95 % confidence intervals use the delta method on the within-sample FSTSc range. Lind–Mehlum p-values follow the Sasabuchi-style endpoint test for an inverted-U over the observed FSTS range. Source: World Bank Enterprise Surveys (https://www.enterprisesurveys.org); authors’ calculations.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Author contributions</w:t>
      </w:r>
    </w:p>
    <w:p>
      <w:pPr>
        <w:pStyle w:val="FirstParagraph"/>
      </w:pPr>
      <w:r>
        <w:t>Do Thuy Huong contributed to conceptualisation, data curation, formal analysis, investigation, methodology, visualisation, and drafting of the manuscript. Phan Anh Tu contributed to conceptualisation, supervision, methodology, validation, review and editing, and overall guidance of the study. Both authors approved the final version of the manuscript.</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Supplementary materials</w:t>
      </w:r>
    </w:p>
    <w:p>
      <w:pPr>
        <w:pStyle w:val="FirstParagraph"/>
      </w:pPr>
      <w:r>
        <w:t>All figures and tables in the manuscript are embedded inline. The underlying coefficient outputs are also distributed as plain CSV files in the replication package for downstream re-analysis: tables/table_1_descriptives.csv (Table 1), tables/coefs_main_models.csv (M0–M8 long-format coefficient table), tables/joint_tests_main_models.csv (H2 and P1 joint F-tests), tables/table_lind_mehlum.csv (Table LM source), tables/table_3_robustness.csv (Table 3 panels A–D + G), tables/selection_checks.csv (Heckman / control function), and tables/table_paternoster.csv (cross-wave z-tests).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Banalieva, E.R. and Dhanaraj, C. (2019), "Internalization theory for the digital economy", Journal of International Business Studies, Vol. 50 No. 8, pp. 1372-1387.</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Coviello, N., Kano, L. and Liesch, P.W. (2017), "Adapting the Uppsala model to a modern world: Macro-context and microfoundations", Journal of International Business Studies, Vol. 48 No. 9, pp. 1151-1164.</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Hanelt, A., Bohnsack, R., Marz, D. and Antunes Marante, C. (2021), "A systematic review of the literature on digital transformation: Insights and implications for strategy and organizational change", Journal of Management Studies, Vol. 58 No. 5, pp. 1159-1197.</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Nambisan, S., Wright, M. and Feldman, M. (2019), "The digital transformation of innovation and entrepreneurship: Progress, challenges and key themes", Research Policy, Vol. 48 No. 8, article 103773.</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Vial, G. (2019), "Understanding digital transformation: A review and a research agenda", Journal of Strategic Information Systems, Vol. 28 No. 2, pp. 118-144.</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p>
      <w:pPr>
        <w:pStyle w:val="BodyText"/>
      </w:pPr>
      <w:r>
        <w:t>Wu, J., Wang, C., Hong, J., Piperopoulos, P. and Zhuo, S. (2016), "Internationalization and innovation performance of emerging market enterprises: The role of host-country institutional development", Journal of World Business, Vol. 51 No. 2, pp. 251-263.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