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Digital Capabilities as a Double-Edged Sword: A Lifecycle Analysis of Internationalisation and Firm Performance in Vietnam</w:t>
      </w:r>
    </w:p>
    <w:p>
      <w:pPr>
        <w:pStyle w:val="Subtitle"/>
      </w:pPr>
      <w:r>
        <w:t>v4.5.1 — md-guided revision (Vietnam, three-wave lifecycle)</w:t>
      </w:r>
    </w:p>
    <w:p>
      <w:pPr>
        <w:pStyle w:val="Date"/>
      </w:pPr>
      <w:r>
        <w:t>2026-05-01</w:t>
      </w:r>
    </w:p>
    <w:p>
      <w:pPr>
        <w:pStyle w:val="Heading1"/>
      </w:pPr>
      <w:r>
        <w:t>Abstract</w:t>
      </w:r>
    </w:p>
    <w:p>
      <w:pPr>
        <w:pStyle w:val="FirstParagraph"/>
      </w:pPr>
      <w:r>
        <w:t>This study examines whether digital capability in Vietnam operates as a stable productivity-enhancing resource or as a context-dependent capability whose value changes across stages of internationalisation. Building on the internationalisation–performance literature, the study argues that the benefits of foreign expansion are unlikely to be linear because scale, learning, and diversification gains may eventually be offset by coordination costs and organisational complexity (Marano et al., 2016). It further argues that digitalisation should not be treated as a single undifferentiated construct because deeper technological capability and foundational digital adoption capture different dimensions of firm heterogeneity (Cohen &amp; Levinthal, 1990; Lall, 1992; Verhoef et al., 2021).</w:t>
      </w:r>
    </w:p>
    <w:p>
      <w:pPr>
        <w:pStyle w:val="BodyText"/>
      </w:pPr>
      <w:r>
        <w:t>Using three waves of harmonised firm-level evidence from the World Bank Enterprise Survey for Vietnam (2009, 2015, 2023), we distinguish a Technological Capability Index (TCI_z) from a Digital Adoption Index (DAI_z) and evaluate their roles in both pooled and wave-specific OLS specifications with HC1 robust covariance. The findings indicate that the internationalisation–performance relationship is nonlinear in the pooled evidence and is especially visible in the later waves. In the pooled full model, both TCI_z and DAI_z are positively associated with firm performance, indicating that both deeper capability stocks and foundational digital adoption are beneficial on average. However, the wave-specific evidence reveals substantial temporal heterogeneity: both TCI and DAI are strongly positive in 2009, lose salience in 2015, and re-emerge in 2023, when digital adoption also becomes more tightly connected to export intensity.</w:t>
      </w:r>
    </w:p>
    <w:p>
      <w:pPr>
        <w:pStyle w:val="BodyText"/>
      </w:pPr>
      <w:r>
        <w:t>These findings suggest that digital capability in a transitional economy should not be interpreted as a universal premium. Instead, its performance value varies across stages of internationalisation and phases of economic transition. The study contributes to international business research by refining the boundary conditions of the internationalisation–performance relationship, improving construct clarity between technological capability and foundational digital adoption, and showing that pooled average effects can obscure important lifecycle heterogeneity.</w:t>
      </w:r>
    </w:p>
    <w:p>
      <w:pPr>
        <w:pStyle w:val="BodyText"/>
      </w:pPr>
      <w:r>
        <w:t>From an applied perspective, the results imply that policy and managerial investments aimed at digitalisation should be calibrated to the firm’s position along the export-intensity distribution and to the broader phase of economic transition in which the firm operates. Treating digital adoption as a uniform productivity lever risks mismeasuring its real contribution and misallocating capability-upgrading effort across firms and over time.</w:t>
      </w:r>
    </w:p>
    <w:p>
      <w:pPr>
        <w:pStyle w:val="BodyText"/>
      </w:pPr>
      <w:r>
        <w:t>Keywords: internationalisation–performance relationship; digital adoption; technological capability; Vietnam; firm performance; lifecycle heterogeneity.</w:t>
      </w:r>
    </w:p>
    <w:p>
      <w:pPr>
        <w:pStyle w:val="Heading1"/>
      </w:pPr>
      <w:r>
        <w:t>1. Introduction</w:t>
      </w:r>
    </w:p>
    <w:p>
      <w:pPr>
        <w:pStyle w:val="Heading2"/>
      </w:pPr>
      <w:r>
        <w:t>1.1 Background and motivation</w:t>
      </w:r>
    </w:p>
    <w:p>
      <w:pPr>
        <w:pStyle w:val="FirstParagraph"/>
      </w:pPr>
      <w:r>
        <w:t>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streams, but they may also face rising coordination costs, information-processing burdens, and organisational strain as their foreign involvement deepens.</w:t>
      </w:r>
    </w:p>
    <w:p>
      <w:pPr>
        <w:pStyle w:val="BodyText"/>
      </w:pPr>
      <w:r>
        <w:t>This tension lies at the heart of the I–P literature. A long tradition of research has argued that internationalisation can improve performance at lower and intermediate levels through scale, learning, and diversification, while also generating diminishing or negative returns at higher levels because of complexity and coordination burdens. Meta-analytic evidence strongly supports the view that nonlinearity is a central feature of this relationship rather than an empirical anomaly (Marano et al., 2016).</w:t>
      </w:r>
    </w:p>
    <w:p>
      <w:pPr>
        <w:pStyle w:val="BodyText"/>
      </w:pPr>
      <w:r>
        <w:t>Digitalisation adds a further layer of complexity to this debate. Digital tools can reduce communication frictions, accelerate transactions, and support coordination across borders. Yet those benefits do not arise automatically. Their realised value depends on whether firms possess the organisational depth, absorptive capacity, and complementary routines needed to translate digital adoption into productivity gains (Cohen &amp; Levinthal, 1990; Verhoef et al., 2021). For this reason, digital capability should not be treated as a universally beneficial resource whose payoff is constant across firms and over time.</w:t>
      </w:r>
    </w:p>
    <w:p>
      <w:pPr>
        <w:pStyle w:val="BodyText"/>
      </w:pPr>
      <w:r>
        <w:t>The Vietnamese setting makes this issue especially important. Because firms are embedded in an economy undergoing capability upgrading and digital transition, both the benefits of internationalisation and the payoff from digitalisation may vary across stages of development. This raises a central question for the present study: does digital capability in Vietnam function as a stable performance-enhancing asset, or does it operate as a stage-contingent resource whose value changes over the lifecycle of internationalisation?</w:t>
      </w:r>
    </w:p>
    <w:p>
      <w:pPr>
        <w:pStyle w:val="BodyText"/>
      </w:pPr>
      <w:r>
        <w:t>Three institutional turning points shape the observation window. Vietnam acceded to the World Trade Organization in early 2007, which opened the period preceding the 2009 wave and converted a domestically oriented exporter cohort into one with broader market exposure but limited absorptive infrastructure. The 2015 wave captures the middle of a second phase, in which expanding manufacturing exports coexisted with under-developed digital trade infrastructure, weak cross-border logistics integration, and an exporter cohort still concentrated in labour-intensive segments. The 2023 wave follows the launch of the National Digital Transformation Programme in 2020, the rapid expansion of cross-border e-payment and e-commerce platforms, and the rebalancing of foreign direct investment toward digitally-mediated and services-linked production. The three waves therefore observe firms under structurally different combinations of internationalisation pressure and digital infrastructure availability, which is what makes the lifecycle reading testable rather than purely conceptual.</w:t>
      </w:r>
    </w:p>
    <w:p>
      <w:pPr>
        <w:pStyle w:val="BodyText"/>
      </w:pPr>
      <w:r>
        <w:t>These shifts are not cosmetic. The composition of the exporter cohort itself evolves across the three waves: the share of firms reporting any positive direct-export intensity declines as services and FDI-linked supply-chain firms enter the sample, while the average level of foundational digital adoption rises with the diffusion of websites, electronic payment systems, and digital transaction interfaces. Reading the I–P relationship and the digital-adoption channel as fixed structural facts across this fourteen-year window misses the fact that the underlying firm population, the binding coordination costs, and the institutional scaffolding for cross-border trade all change materially.</w:t>
      </w:r>
    </w:p>
    <w:p>
      <w:pPr>
        <w:pStyle w:val="Heading2"/>
      </w:pPr>
      <w:r>
        <w:t>1.2 Research gap</w:t>
      </w:r>
    </w:p>
    <w:p>
      <w:pPr>
        <w:pStyle w:val="FirstParagraph"/>
      </w:pPr>
      <w:r>
        <w:t>Three gaps motivate this study. First, existing work often treats digitalisation as a broadly positive resource without paying sufficient attention to temporal and contextual variation in its payoff. Such a treatment risks implying that digital adoption produces a relatively stable performance premium across firms and across stages of economic transition. In reality, digitalisation may generate uneven returns because firms differ in scale, routines, and complementary capability.</w:t>
      </w:r>
    </w:p>
    <w:p>
      <w:pPr>
        <w:pStyle w:val="BodyText"/>
      </w:pPr>
      <w:r>
        <w:t>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 or transaction mechanisms (Bharadwaj et al., 2013; Verhoef et al., 2021). Although these constructs are related, they should not be treated as interchangeable. Collapsing them into a single umbrella variable can reduce construct clarity and blur the mechanisms linking digitalisation to performance.</w:t>
      </w:r>
    </w:p>
    <w:p>
      <w:pPr>
        <w:pStyle w:val="BodyText"/>
      </w:pPr>
      <w:r>
        <w:t>Third, pooled estimates may obscure substantial lifecycle heterogeneity. In a setting such as Vietnam, where firms and institutions pass through distinct stages of transition, the role of internationalisation, technological capability, and digital adoption may vary considerably across survey waves. A pooled model is useful for identifying average effects, but it is insufficient if the underlying relationships shift across time. A design that combines pooled and wave-specific analysis is therefore necessary to determine whether the observed effects are stable or stage contingent.</w:t>
      </w:r>
    </w:p>
    <w:p>
      <w:pPr>
        <w:pStyle w:val="Heading2"/>
      </w:pPr>
      <w:r>
        <w:t>1.3 Contribution</w:t>
      </w:r>
    </w:p>
    <w:p>
      <w:pPr>
        <w:pStyle w:val="FirstParagraph"/>
      </w:pPr>
      <w:r>
        <w:t>This study makes three contributions to the literature. First, it refines the I–P debate by showing that the Vietnamese evidence supports a nonlinear relationship, but that the salience and visibility of that relationship vary across time. Rather than treating nonlinearity as a fixed structural fact that appears identically in every period, the analysis shows that the I–P curve must be read in conjunction with the broader capability environment.</w:t>
      </w:r>
    </w:p>
    <w:p>
      <w:pPr>
        <w:pStyle w:val="BodyText"/>
      </w:pPr>
      <w:r>
        <w:t>Second, the study improves construct validity by separating technological capability from foundational digital adoption. This distinction matters theoretically because deeper capability stocks and basic digital enablement may generate performance through different channels. It also matters empirically because the two constructs do not exhibit identical patterns across the Vietnamese waves.</w:t>
      </w:r>
    </w:p>
    <w:p>
      <w:pPr>
        <w:pStyle w:val="BodyText"/>
      </w:pPr>
      <w:r>
        <w:t>Third, the study introduces a lifecycle interpretation of digital internationalisation. The evidence suggests that digital capability is neither a universally stable premium nor a uniformly ineffective resource. Instead, it is an uneven and stage-dependent source of performance heterogeneity. This perspective helps explain why pooled average effects may coexist with substantial wave-specific differences.</w:t>
      </w:r>
    </w:p>
    <w:p>
      <w:pPr>
        <w:pStyle w:val="Heading2"/>
      </w:pPr>
      <w:r>
        <w:t>1.4 Roadmap</w:t>
      </w:r>
    </w:p>
    <w:p>
      <w:pPr>
        <w:pStyle w:val="FirstParagraph"/>
      </w:pPr>
      <w:r>
        <w:t>The remainder of the paper is organised as follows. Section 2 develops the theoretical framework and hypotheses. Section 3 describes the data, variables, and empirical strategy. Section 4 presents the results. Section 5 discusses the theoretical and managerial implications. Section 6 concludes.</w:t>
      </w:r>
    </w:p>
    <w:p>
      <w:pPr>
        <w:pStyle w:val="Heading1"/>
      </w:pPr>
      <w:r>
        <w:t>2. Theory and hypotheses</w:t>
      </w:r>
    </w:p>
    <w:p>
      <w:pPr>
        <w:pStyle w:val="Heading2"/>
      </w:pPr>
      <w:r>
        <w:t>2.1 Internationalisation and firm performance</w:t>
      </w:r>
    </w:p>
    <w:p>
      <w:pPr>
        <w:pStyle w:val="FirstParagraph"/>
      </w:pPr>
      <w:r>
        <w:t>The relationship between internationalisation and firm performance is unlikely to be linear in a transitional economy such as Vietnam. Foreign expansion can improve performance through greater market reach, diversification, and learning from external environments. Firms may use internationalisation to spread fixed costs, access new customers, and acquire knowledge that supports operational improvement.</w:t>
      </w:r>
    </w:p>
    <w:p>
      <w:pPr>
        <w:pStyle w:val="BodyText"/>
      </w:pPr>
      <w:r>
        <w:t>At the same time, deeper international involvement often generates coordination costs and organisational burdens. Firms must manage multiple markets, reconcile diverse customer demands, process more information, and sustain greater managerial control. As foreign expansion intensifies, these costs may grow faster than the benefits, producing diminishing returns or even a decline in performance. This basic logic underpins the classic nonlinear view of the I–P relationship (Marano et al., 2016).</w:t>
      </w:r>
    </w:p>
    <w:p>
      <w:pPr>
        <w:pStyle w:val="BodyText"/>
      </w:pPr>
      <w:r>
        <w:t>This argument is especially plausible in Vietnam because firms operate under uneven capability conditions. Some firms may convert foreign expansion into learning and scale advantages, whereas others may encounter organisational strain sooner. The relevant expectation is therefore not a uniformly positive slope, but a nonlinear relationship in which gains from internationalisation become progressively more difficult to sustain.</w:t>
      </w:r>
    </w:p>
    <w:p>
      <w:pPr>
        <w:pStyle w:val="BodyText"/>
      </w:pPr>
      <w:r>
        <w:t>Two opposing forces underpin the curvature. On the upside, increasing direct-export intensity creates scale economies, knowledge spillovers from foreign customers, and learning-by-exporting effects that lift productivity. On the downside, coordinating production for institutionally distant markets imposes information-processing costs that grow non-linearly: each additional foreign market adds compliance demands, customer-relationship overhead, and supply-chain dependencies whose marginal coordination cost rises faster than the marginal scale benefit beyond a threshold. In a transitional setting where ports, trade-finance institutions, digital marketplaces, and dispute-resolution mechanisms are still maturing, this threshold may bind at a lower level of export intensity than in mature economies, sharpening the curvature relative to the meta-analytic baseline (Marano et al., 2016).</w:t>
      </w:r>
    </w:p>
    <w:p>
      <w:pPr>
        <w:pStyle w:val="BlockText"/>
      </w:pPr>
      <w:r>
        <w:t>H1. The relationship between internationalisation and firm performance in Vietnam is nonlinear.</w:t>
      </w:r>
    </w:p>
    <w:p>
      <w:pPr>
        <w:pStyle w:val="Heading2"/>
      </w:pPr>
      <w:r>
        <w:t>2.2 Technological capability and firm performance</w:t>
      </w:r>
    </w:p>
    <w:p>
      <w:pPr>
        <w:pStyle w:val="FirstParagraph"/>
      </w:pPr>
      <w:r>
        <w:t>Technological capability refers to deeper firm-internal stocks of learning, knowledge integration, process improvement, and problem-solving capacity. It is central to the firm’s ability to upgrade operations, adapt to changing market demands, and absorb external knowledge (Cohen &amp; Levinthal, 1990; Lall, 1992). In international settings, these functions are particularly important because firms must respond to unfamiliar markets, coordinate across boundaries, and integrate lessons from foreign activity into organisational routines.</w:t>
      </w:r>
    </w:p>
    <w:p>
      <w:pPr>
        <w:pStyle w:val="BodyText"/>
      </w:pPr>
      <w:r>
        <w:t>A firm with stronger technological capability is more likely to transform international exposure into productivity gains. It can adjust products and processes more effectively, learn from foreign customers and competitors more quickly, and cope better with the operational demands created by export activity. Even when such capability does not fundamentally alter the curvature of the I–P relationship, it should improve the firm’s overall performance level.</w:t>
      </w:r>
    </w:p>
    <w:p>
      <w:pPr>
        <w:pStyle w:val="BodyText"/>
      </w:pPr>
      <w:r>
        <w:t>This implies a positive direct association between technological capability and firm performance in Vietnam. Stronger technological capability should raise the firm’s capacity to benefit from internationalisation and should also support productivity more broadly.</w:t>
      </w:r>
    </w:p>
    <w:p>
      <w:pPr>
        <w:pStyle w:val="BodyText"/>
      </w:pPr>
      <w:r>
        <w:t>Operationally, technological capability in the Lall (1992) tradition is built from items that capture the firm’s ability to absorb, deploy, and improve foreign technology: foreign-licensed technology indicates direct technology transfer; internationally recognised quality certification indicates the organisational ability to meet foreign quality standards; product-innovation and R&amp;D activity indicate the absorptive capacity (năng lực hấp thụ in the Cohen &amp; Levinthal sense) needed to convert external knowledge into productivity gains. The constructed TCI_z therefore captures stock rather than flow: it indexes the firm’s accumulated capability to engage with foreign technology and standards, not the volume of any one digital transaction.</w:t>
      </w:r>
    </w:p>
    <w:p>
      <w:pPr>
        <w:pStyle w:val="BlockText"/>
      </w:pPr>
      <w:r>
        <w:t>H2. Technological capability (TCI_z) is positively associated with firm performance in Vietnam.</w:t>
      </w:r>
    </w:p>
    <w:p>
      <w:pPr>
        <w:pStyle w:val="Heading2"/>
      </w:pPr>
      <w:r>
        <w:t>2.3 Foundational digital adoption and firm performance</w:t>
      </w:r>
    </w:p>
    <w:p>
      <w:pPr>
        <w:pStyle w:val="FirstParagraph"/>
      </w:pPr>
      <w:r>
        <w:t>Foundational digital adoption captures a more basic layer of digital readiness than technological capability. It reflects the presence and use of digitally enabled interfaces, transaction-supporting tools, and practical digital mechanisms that help firms communicate, transact, and coordinate. While this digital layer may not represent the full depth of digitally integrated organisational capability, it can still matter for firm performance by reducing information frictions and improving process speed (Bharadwaj et al., 2013; Verhoef et al., 2021).</w:t>
      </w:r>
    </w:p>
    <w:p>
      <w:pPr>
        <w:pStyle w:val="BodyText"/>
      </w:pPr>
      <w:r>
        <w:t>For firms participating in foreign markets, foundational digital adoption may be especially valuable. Exporting requires timely information exchange, coordination with customers and partners, and efficient processing of transactions across distance. Digital tools can lower these frictions and create direct performance gains. At the same time, those gains are unlikely to be automatic. Their value depends on whether the firm has the scale, routines, and managerial capacity needed to use digital tools effectively.</w:t>
      </w:r>
    </w:p>
    <w:p>
      <w:pPr>
        <w:pStyle w:val="BodyText"/>
      </w:pPr>
      <w:r>
        <w:t>Because of this, foundational digital adoption should be expected to show a positive average association with performance, but not necessarily one that is uniform across all contexts and periods. The average effect may be positive even if the realised payoff varies across stages of internationalisation.</w:t>
      </w:r>
    </w:p>
    <w:p>
      <w:pPr>
        <w:pStyle w:val="BodyText"/>
      </w:pPr>
      <w:r>
        <w:t>It is useful at this point to be precise about what the DAI_z composite captures and what it does not. Following Verhoef et al. (2021), digital capability can be located on a four-tier hierarchy: Tier 1 covers digital presence (websites, e-mail); Tier 2 covers digital communication and basic e-commerce; Tier 3 covers digital process integration (electronic payment, supply-chain digitisation); Tier 4 covers dynamic digital capability (data-driven decision-making, AI integration). The cross-wave-comparable DAI_z used in this paper is anchored in Tier 1–2 indicators (website presence, foreign-licensed technology) rather than the Tier 3–4 dynamic-capability layer; richer Tier 3 items are introduced as a 2023-only robustness extension in §4.5. This deliberate restriction prevents us from conflating the basic digital-adoption channel — which is what the construct can identify across the 2009–2023 window — with the deeper digital-transformation layer that the WBES instrument cannot consistently measure across waves.</w:t>
      </w:r>
    </w:p>
    <w:p>
      <w:pPr>
        <w:pStyle w:val="BlockText"/>
      </w:pPr>
      <w:r>
        <w:t>H3. Foundational digital adoption (DAI_z) is positively associated with firm performance in Vietnam on average.</w:t>
      </w:r>
    </w:p>
    <w:p>
      <w:pPr>
        <w:pStyle w:val="Heading2"/>
      </w:pPr>
      <w:r>
        <w:t>2.4 Stage-contingent digital value</w:t>
      </w:r>
    </w:p>
    <w:p>
      <w:pPr>
        <w:pStyle w:val="FirstParagraph"/>
      </w:pPr>
      <w:r>
        <w:t>The core theoretical claim of this study is that digital capability is stage contingent. In early phases of internationalisation, digital tools may create relatively direct gains by helping firms communicate faster, access markets more easily, and manage transactions more efficiently. In later phases, however, the benefits of digitalisation may become more conditional because firms face more complex coordination demands. Under such conditions, the value of digital adoption depends increasingly on whether digital tools are embedded in broader organisational routines and aligned with export scale.</w:t>
      </w:r>
    </w:p>
    <w:p>
      <w:pPr>
        <w:pStyle w:val="BodyText"/>
      </w:pPr>
      <w:r>
        <w:t>This argument implies that digitalisation can be a double-edged sword in a transitional economy. It may generate observable gains, but those gains are uneven and dependent on timing, scale, and complementary capability. In some phases, digital adoption may operate mainly as a direct performance-enhancing factor. In others, it may weaken, disappear, or become conditional on the firm’s level of internationalisation.</w:t>
      </w:r>
    </w:p>
    <w:p>
      <w:pPr>
        <w:pStyle w:val="BodyText"/>
      </w:pPr>
      <w:r>
        <w:t>This expectation is particularly relevant in Vietnam, where firms operate in an environment of transition rather than full institutional and capability stability. A lifecycle interpretation is therefore more appropriate than a uniform premium interpretation.</w:t>
      </w:r>
    </w:p>
    <w:p>
      <w:pPr>
        <w:pStyle w:val="BodyText"/>
      </w:pPr>
      <w:r>
        <w:t>Two further considerations sharpen the prediction. First, when the exporter cohort is concentrated in low-export-intensity manufacturing, foundational digital tools mainly perform a market-access role: they help the firm find customers, communicate prices and product information, and process simple transactions. The marginal productivity gain from this role is positive but broadly distributed across the export-intensity range. Second, when the exporter cohort shifts toward firms that operate at higher export intensity and engage in tighter cross-border coordination, the same Tier 1–2 digital tools begin to interact with the marginal coordination cost of additional foreign markets. Whether this interaction is substitutive (digital tools lower coordination cost and amplify the productivity dividend) or complementary with diminishing returns (digital tools at high intensity reveal the absence of deeper integration and amplify coordination strain) is fundamentally an empirical question that this paper treats as the test of H4.</w:t>
      </w:r>
    </w:p>
    <w:p>
      <w:pPr>
        <w:pStyle w:val="BlockText"/>
      </w:pPr>
      <w:r>
        <w:t>H4. The performance relevance of foundational digital adoption (DAI_z) in Vietnam varies across stages of internationalisation and becomes more conditional in later phases of transition.</w:t>
      </w:r>
    </w:p>
    <w:p>
      <w:pPr>
        <w:pStyle w:val="Heading1"/>
      </w:pPr>
      <w:r>
        <w:t>3. Data, variables, and empirical strategy</w:t>
      </w:r>
    </w:p>
    <w:p>
      <w:pPr>
        <w:pStyle w:val="Heading2"/>
      </w:pPr>
      <w:r>
        <w:t>3.1 Data structure</w:t>
      </w:r>
    </w:p>
    <w:p>
      <w:pPr>
        <w:pStyle w:val="FirstParagraph"/>
      </w:pPr>
      <w:r>
        <w:t>The empirical analysis uses harmonised firm-level evidence for Vietnam across three waves of the World Bank Enterprise Survey: 2009, 2015, and 2023. Estimating the models separately by wave makes it possible to observe whether relationships are stable or time specific, while pooled estimation identifies average effects across the broader period.</w:t>
      </w:r>
    </w:p>
    <w:p>
      <w:pPr>
        <w:pStyle w:val="BodyText"/>
      </w:pPr>
      <w:r>
        <w:t>The effective estimation sample varies across model specifications because of missing values in the capability variables. In the full wave-specific models, the usable samples are 977 observations for 2009, 964 for 2015, and 1,013 for 2023. The pooled full model contains 2,954 observations. This structure provides sufficient variation to compare direct effects and conditional patterns across stages.</w:t>
      </w:r>
    </w:p>
    <w:p>
      <w:pPr>
        <w:pStyle w:val="Heading2"/>
      </w:pPr>
      <w:r>
        <w:t>3.2 Variables</w:t>
      </w:r>
    </w:p>
    <w:p>
      <w:pPr>
        <w:pStyle w:val="FirstParagraph"/>
      </w:pPr>
      <w:r>
        <w:t>Firm performance is measured by log labour productivity (lnLP). Internationalisation is measured by direct-export intensity (FSTS), mean-centred within wave (FSTS_c) and squared (FSTS_c²) so that linear and quadratic terms can be entered jointly to test for nonlinearity.</w:t>
      </w:r>
    </w:p>
    <w:p>
      <w:pPr>
        <w:pStyle w:val="BodyText"/>
      </w:pPr>
      <w:r>
        <w:t>The analysis uses two distinct capability constructs. The Technological Capability Index (TCI_z) captures deeper capability stocks related to learning, upgrading, and internal competence accumulation, anchored in Lall (1992) and Cohen &amp; Levinthal (1990). The Digital Adoption Index (DAI_z) captures a foundational layer of digital adoption — digital presence and basic digital transaction support — rather than higher-order digitally integrated organisational transformation (Bharadwaj et al., 2013; Verhoef et al., 2021). Each composite is z-standardised within wave so that the reported coefficients are comparable in magnitude. This separation is deliberate because the study is interested in whether the two domains exhibit different empirical roles.</w:t>
      </w:r>
    </w:p>
    <w:p>
      <w:pPr>
        <w:pStyle w:val="BodyText"/>
      </w:pPr>
      <w:r>
        <w:t>Item-level construction is as follows. Outcome lnLP = ln(d2 / l1) where d2 is total annual sales and l1 is permanent full-time employees. Internationalisation FSTS = d3c / 100, mean-centred within wave (FSTS_c) and squared (FSTS_c²). TCI_thin is the within-wave mean of b8 (internationally recognised quality certification) and e6 (foreign-licensed technology) recoded from WBES 1/2 to 1/0 binary indicators, then z-standardised within wave to give TCI_z. DAI_thin is the within-wave mean of c22b (own website) and e6, constructed identically to give DAI_z. The two composites share e6 by virtue of overlapping coverage in the WBES instrument; this overlap is documented in §4.5 and the substantive findings are robust to alternative composites that exclude the shared item.</w:t>
      </w:r>
    </w:p>
    <w:p>
      <w:pPr>
        <w:pStyle w:val="BodyText"/>
      </w:pPr>
      <w:r>
        <w:t>Two enriched composites are used in the §4.5 robustness panel where item availability allows. TCI_full adds h1 (introduced new or significantly improved product) and h8 (R&amp;D expenditure indicator) to the TCI_thin items; this richer composite is constructed for the 2015 and 2023 waves where h1 and h8 are present. DAI_rich adds k33 (sales received via electronic payment) and k38 (supplier payments via electronic payment) to the DAI_thin items, in both continuous (k33/100, k38/100) and binary (k33 &gt; 0, k38 &gt; 0) variants; this richer composite is constructed for the 2023 wave only because the payment items are not present in the earlier releases.</w:t>
      </w:r>
    </w:p>
    <w:p>
      <w:pPr>
        <w:pStyle w:val="BodyText"/>
      </w:pPr>
      <w:r>
        <w:t>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A note on missing-code handling. The WBES instrument codes don’t-know and refused responses as −9. We treat −9 as missing before any composite is built and apply listwise deletion on the focal variable set (lnLP, lnEmp, FirmAge, ForeignOwned, FSTS, TCI_thin, DAI_thin, sector1). The resulting analytic samples are 977, 964, and 1,013 observations for 2009, 2015, and 2023 respectively; pooled N is 2,954.</w:t>
      </w:r>
    </w:p>
    <w:p>
      <w:pPr>
        <w:pStyle w:val="Heading2"/>
      </w:pPr>
      <w:r>
        <w:t>3.3 Model sequence</w:t>
      </w:r>
    </w:p>
    <w:p>
      <w:pPr>
        <w:pStyle w:val="FirstParagraph"/>
      </w:pPr>
      <w:r>
        <w:t>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w:t>
      </w:r>
    </w:p>
    <w:p>
      <w:pPr>
        <w:pStyle w:val="BodyText"/>
      </w:pPr>
      <w:r>
        <w:t>This design separates three analytical questions. First, is the I–P relationship nonlinear? Second, are TCI_z and DAI_z directly associated with performance? Third, does the role of digital adoption become more conditional as export intensity rises? Throughout, results are described as associations rather than effects, consistent with the inferential limits of repeated-cross-section data.</w:t>
      </w:r>
    </w:p>
    <w:p>
      <w:pPr>
        <w:pStyle w:val="Heading2"/>
      </w:pPr>
      <w:r>
        <w:t>3.4 Replication and reproducibility</w:t>
      </w:r>
    </w:p>
    <w:p>
      <w:pPr>
        <w:pStyle w:val="FirstParagraph"/>
      </w:pPr>
      <w:r>
        <w:t>The full pipeline is implemented as a 10-step Stata blueprint distributed with the manuscript. The build steps (01–04) clean each WBES wave, harmonise the focal variable set, and append the three waves into a pooled file with within-wave centring and z-standardisation reapplied. Estimation steps (05–09) cover the M0–M8 nested sequence, the Lind–Mehlum turning-point check, manual Heckman selection probes, Paternoster (1998) cross-wave z-tests, and the robustness panels described in §4.5. The export step (10) writes the manuscript-facing tables and Figure 2 directly from the stored estimates. Rerunning the pipeline from a fresh clone reproduces every coefficient reported below; the manuscript text rather than the do-file output is the object that adjusts when the rerun drifts from the prose.</w:t>
      </w:r>
    </w:p>
    <w:p>
      <w:pPr>
        <w:pStyle w:val="Heading1"/>
      </w:pPr>
      <w:r>
        <w:t>4. Results</w:t>
      </w:r>
    </w:p>
    <w:p>
      <w:pPr>
        <w:pStyle w:val="Heading2"/>
      </w:pPr>
      <w:r>
        <w:t>4.1 Wave-specific findings</w:t>
      </w:r>
    </w:p>
    <w:p>
      <w:pPr>
        <w:pStyle w:val="FirstParagraph"/>
      </w:pPr>
      <w:r>
        <w:t>The wave-specific evidence reveals clear temporal heterogeneity. In 2009, both capability constructs are strongly and positively associated with performance. In the full 2009 model, TCI_z is positive and highly significant (β = 0.274, p &lt; .001), and DAI_z is also positive and highly significant (β = 0.210, p &lt; .001). However, the interaction terms involving DAI_z are not significant in that wave. This indicates that, in the earlier phase, both technological capability and foundational digital adoption operate primarily as direct performance-enhancing resources rather than as robust moderators of the I–P relationship.</w:t>
      </w:r>
    </w:p>
    <w:p>
      <w:pPr>
        <w:pStyle w:val="BodyText"/>
      </w:pPr>
      <w:r>
        <w:t>The 2015 wave shows a different configuration. The I–P relationship becomes more clearly nonlinear in that period: in the full model, the linear FSTS_c term is positive and significant (β = 1.653, p = .041), while the quadratic FSTS_c² term is negative and significant (β = −2.175, p = .010). At the same time, both capability measures lose direct salience. TCI_z becomes statistically insignificant (β = 0.071, p = .297), and DAI_z is likewise insignificant (β = 0.006, p = .928). The interaction terms involving DAI_z also remain insignificant. This suggests a transitional phase in which export intensity matters, but the performance payoff from capability variables becomes more muted.</w:t>
      </w:r>
    </w:p>
    <w:p>
      <w:pPr>
        <w:pStyle w:val="BodyText"/>
      </w:pPr>
      <w:r>
        <w:t>The 2023 evidence reveals another shift. The nonlinear structure remains visible, with a positive linear FSTS_c term (β = 1.338, p = .112) and a negative quadratic FSTS_c² term that is statistically significant (β = −1.942, p = .023). More importantly, both capability measures regain direct significance: TCI_z is positive (β = 0.140, p = .013) and DAI_z is positive (β = 0.161, p = .012). In addition, the linear interaction between FSTS_c and DAI_z is negative and reaches the conventional significance threshold (β = −1.072, p = .050), suggesting that the performance relevance of digital adoption becomes more conditional on export intensity in the later wave.</w:t>
      </w:r>
    </w:p>
    <w:p>
      <w:pPr>
        <w:pStyle w:val="BodyText"/>
      </w:pPr>
      <w:r>
        <w:t>Taken together, the wave-specific results suggest a lifecycle pattern rather than a stable cross-period rule. The direct payoff from both TCI_z and DAI_z is strong in 2009, weak in 2015, and positive again in 2023, with digital adoption becoming more conditional in the later wave.</w:t>
      </w:r>
    </w:p>
    <w:p>
      <w:pPr>
        <w:pStyle w:val="BodyText"/>
      </w:pPr>
      <w:r>
        <w:t>The wave-specific pattern carries an institutional reading. The 2009 wave captures the early aftermath of WTO accession, when the marginal exporter was still in the entry-cost zone of the I–P curve, when capability stocks were the scarce resource, and when foundational digital tools — even at the website-only layer — generated direct gains because the alternative was paper-based transaction processing. The 2015 wave captures a transitional phase in which export expansion continued but the productivity payoff from capability resources compressed: the curvature of the I–P relationship became visible precisely when the direct returns to TCI_z and DAI_z faded, suggesting that the firms added to the exporter cohort during this period derived their productivity gains primarily from scale rather than from capability differentiation. The 2023 wave captures a re-emergence: the post-NDTP digital infrastructure makes foundational digital adoption complementary to internal capability stocks again, and the negative FSTS_c × DAI_z interaction shows that this complementarity is concentrated at higher export intensity rather than uniformly distributed across the export-intensity range.</w:t>
      </w:r>
    </w:p>
    <w:p>
      <w:pPr>
        <w:pStyle w:val="Heading2"/>
      </w:pPr>
      <w:r>
        <w:t>4.2 Pooled findings</w:t>
      </w:r>
    </w:p>
    <w:p>
      <w:pPr>
        <w:pStyle w:val="FirstParagraph"/>
      </w:pPr>
      <w:r>
        <w:t>The pooled results confirm that the I–P relationship is nonlinear on average. In the pooled nonlinear model, the linear FSTS_c term is positive and significant (β = 1.207, p = .003), while the quadratic FSTS_c² term is negative and significant (β = −1.714, p &lt; .001). This pattern remains in the pooled full model, where the linear term is positive (β = 1.036, p = .023) and the quadratic term remains negative and significant (β = −1.487, p = .002). This supports H1 and aligns with the broader nonlinear logic emphasised in prior international business research (Marano et al., 2016).</w:t>
      </w:r>
    </w:p>
    <w:p>
      <w:pPr>
        <w:pStyle w:val="BodyText"/>
      </w:pPr>
      <w:r>
        <w:t>The pooled evidence also shows that both capability dimensions are positively associated with firm performance on average. In the pooled full model, TCI_z is positive and statistically significant (β = 0.138, p &lt; .001), and DAI_z is also positive and statistically significant (β = 0.125, p &lt; .001). These estimates indicate that, when averaged across waves, both deeper technological capability and foundational digital adoption are performance enhancing, supporting H2 and H3.</w:t>
      </w:r>
    </w:p>
    <w:p>
      <w:pPr>
        <w:pStyle w:val="BodyText"/>
      </w:pPr>
      <w:r>
        <w:t>The pooled interaction terms involving DAI_z, however, are not statistically significant. The linear interaction between FSTS_c and DAI_z is negative but insignificant (β = −0.573, p = .170), and the quadratic interaction is positive but insignificant (β = 0.460, p = .298). This matters because it shows that the pooled average should not be interpreted as evidence of a stable moderation effect across time. Instead, the pooled model masks meaningful stage-specific heterogeneity.</w:t>
      </w:r>
    </w:p>
    <w:p>
      <w:pPr>
        <w:pStyle w:val="BodyText"/>
      </w:pPr>
      <w:r>
        <w:t>If the analysis stopped at pooled estimation, one might conclude that digitalisation provides a broadly positive but structurally simple performance premium. The wave-specific evidence shows that this conclusion would be incomplete. The positive pooled average coexists with substantial temporal heterogeneity, and the conditional role of digital adoption emerges more clearly only in the later wave.</w:t>
      </w:r>
    </w:p>
    <w:p>
      <w:pPr>
        <w:pStyle w:val="Heading2"/>
      </w:pPr>
      <w:r>
        <w:t>4.3 Interpretation of the hypothesis tests</w:t>
      </w:r>
    </w:p>
    <w:p>
      <w:pPr>
        <w:pStyle w:val="FirstParagraph"/>
      </w:pPr>
      <w:r>
        <w:t>H1 is supported because the pooled evidence indicates a nonlinear relationship between internationalisation and firm performance, and the later waves display the same logic more clearly. H2 is supported because TCI_z is positively associated with performance in the pooled evidence and in two of the three wave-specific periods. H3 is also supported because DAI_z is positively associated with performance on average and in two of the three waves.</w:t>
      </w:r>
    </w:p>
    <w:p>
      <w:pPr>
        <w:pStyle w:val="BodyText"/>
      </w:pPr>
      <w:r>
        <w:t>H4 receives partial but meaningful support. The pooled interaction terms do not indicate a stable conditional role for DAI_z across all periods. However, the wave-specific analysis shows that the role of DAI_z changes over time and becomes more conditionally linked to export intensity in 2023. This is consistent with the broader claim that digital capability is stage contingent rather than uniformly valuable in the same way across all phases.</w:t>
      </w:r>
    </w:p>
    <w:p>
      <w:pPr>
        <w:pStyle w:val="Heading2"/>
      </w:pPr>
      <w:r>
        <w:t>4.4 Main empirical pattern</w:t>
      </w:r>
    </w:p>
    <w:p>
      <w:pPr>
        <w:pStyle w:val="FirstParagraph"/>
      </w:pPr>
      <w:r>
        <w:t>Table 1 summarises the directional interpretation of the focal coefficients from the full specifications by wave and for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Wave / model</w:t>
            </w:r>
          </w:p>
        </w:tc>
        <w:tc>
          <w:tcPr>
            <w:tcW w:type="dxa" w:w="1872"/>
          </w:tcPr>
          <w:p>
            <w:r>
              <w:t>I–P relationship</w:t>
            </w:r>
          </w:p>
        </w:tc>
        <w:tc>
          <w:tcPr>
            <w:tcW w:type="dxa" w:w="1872"/>
          </w:tcPr>
          <w:p>
            <w:r>
              <w:t>TCI_z direct</w:t>
            </w:r>
          </w:p>
        </w:tc>
        <w:tc>
          <w:tcPr>
            <w:tcW w:type="dxa" w:w="1872"/>
          </w:tcPr>
          <w:p>
            <w:r>
              <w:t>DAI_z direct</w:t>
            </w:r>
          </w:p>
        </w:tc>
        <w:tc>
          <w:tcPr>
            <w:tcW w:type="dxa" w:w="1872"/>
          </w:tcPr>
          <w:p>
            <w:r>
              <w:t>DAI_z interaction</w:t>
            </w:r>
          </w:p>
        </w:tc>
      </w:tr>
      <w:tr>
        <w:tc>
          <w:tcPr>
            <w:tcW w:type="dxa" w:w="1872"/>
          </w:tcPr>
          <w:p>
            <w:r>
              <w:t>2009 full model</w:t>
            </w:r>
          </w:p>
        </w:tc>
        <w:tc>
          <w:tcPr>
            <w:tcW w:type="dxa" w:w="1872"/>
          </w:tcPr>
          <w:p>
            <w:r>
              <w:t>Not clearly supported in full model</w:t>
            </w:r>
          </w:p>
        </w:tc>
        <w:tc>
          <w:tcPr>
            <w:tcW w:type="dxa" w:w="1872"/>
          </w:tcPr>
          <w:p>
            <w:r>
              <w:t>0.274 (p &lt; .001)</w:t>
            </w:r>
          </w:p>
        </w:tc>
        <w:tc>
          <w:tcPr>
            <w:tcW w:type="dxa" w:w="1872"/>
          </w:tcPr>
          <w:p>
            <w:r>
              <w:t>0.210 (p &lt; .001)</w:t>
            </w:r>
          </w:p>
        </w:tc>
        <w:tc>
          <w:tcPr>
            <w:tcW w:type="dxa" w:w="1872"/>
          </w:tcPr>
          <w:p>
            <w:r>
              <w:t>Not significant</w:t>
            </w:r>
          </w:p>
        </w:tc>
      </w:tr>
      <w:tr>
        <w:tc>
          <w:tcPr>
            <w:tcW w:type="dxa" w:w="1872"/>
          </w:tcPr>
          <w:p>
            <w:r>
              <w:t>2015 full model</w:t>
            </w:r>
          </w:p>
        </w:tc>
        <w:tc>
          <w:tcPr>
            <w:tcW w:type="dxa" w:w="1872"/>
          </w:tcPr>
          <w:p>
            <w:r>
              <w:t>FSTS_c positive (1.653, p = .041); FSTS_c² negative (−2.175, p = .010)</w:t>
            </w:r>
          </w:p>
        </w:tc>
        <w:tc>
          <w:tcPr>
            <w:tcW w:type="dxa" w:w="1872"/>
          </w:tcPr>
          <w:p>
            <w:r>
              <w:t>0.071 (p = .297) n.s.</w:t>
            </w:r>
          </w:p>
        </w:tc>
        <w:tc>
          <w:tcPr>
            <w:tcW w:type="dxa" w:w="1872"/>
          </w:tcPr>
          <w:p>
            <w:r>
              <w:t>0.006 (p = .928) n.s.</w:t>
            </w:r>
          </w:p>
        </w:tc>
        <w:tc>
          <w:tcPr>
            <w:tcW w:type="dxa" w:w="1872"/>
          </w:tcPr>
          <w:p>
            <w:r>
              <w:t>Not significant</w:t>
            </w:r>
          </w:p>
        </w:tc>
      </w:tr>
      <w:tr>
        <w:tc>
          <w:tcPr>
            <w:tcW w:type="dxa" w:w="1872"/>
          </w:tcPr>
          <w:p>
            <w:r>
              <w:t>2023 full model</w:t>
            </w:r>
          </w:p>
        </w:tc>
        <w:tc>
          <w:tcPr>
            <w:tcW w:type="dxa" w:w="1872"/>
          </w:tcPr>
          <w:p>
            <w:r>
              <w:t>FSTS_c² negative and significant (−1.942, p = .023)</w:t>
            </w:r>
          </w:p>
        </w:tc>
        <w:tc>
          <w:tcPr>
            <w:tcW w:type="dxa" w:w="1872"/>
          </w:tcPr>
          <w:p>
            <w:r>
              <w:t>0.140 (p = .013)</w:t>
            </w:r>
          </w:p>
        </w:tc>
        <w:tc>
          <w:tcPr>
            <w:tcW w:type="dxa" w:w="1872"/>
          </w:tcPr>
          <w:p>
            <w:r>
              <w:t>0.161 (p = .012)</w:t>
            </w:r>
          </w:p>
        </w:tc>
        <w:tc>
          <w:tcPr>
            <w:tcW w:type="dxa" w:w="1872"/>
          </w:tcPr>
          <w:p>
            <w:r>
              <w:t>FSTS_c × DAI_z = −1.072 (p = .050)</w:t>
            </w:r>
          </w:p>
        </w:tc>
      </w:tr>
      <w:tr>
        <w:tc>
          <w:tcPr>
            <w:tcW w:type="dxa" w:w="1872"/>
          </w:tcPr>
          <w:p>
            <w:r>
              <w:t>Pooled full model</w:t>
            </w:r>
          </w:p>
        </w:tc>
        <w:tc>
          <w:tcPr>
            <w:tcW w:type="dxa" w:w="1872"/>
          </w:tcPr>
          <w:p>
            <w:r>
              <w:t>FSTS_c positive (1.036, p = .023); FSTS_c² negative (−1.487, p = .002)</w:t>
            </w:r>
          </w:p>
        </w:tc>
        <w:tc>
          <w:tcPr>
            <w:tcW w:type="dxa" w:w="1872"/>
          </w:tcPr>
          <w:p>
            <w:r>
              <w:t>0.138 (p &lt; .001)</w:t>
            </w:r>
          </w:p>
        </w:tc>
        <w:tc>
          <w:tcPr>
            <w:tcW w:type="dxa" w:w="1872"/>
          </w:tcPr>
          <w:p>
            <w:r>
              <w:t>0.125 (p &lt; .001)</w:t>
            </w:r>
          </w:p>
        </w:tc>
        <w:tc>
          <w:tcPr>
            <w:tcW w:type="dxa" w:w="1872"/>
          </w:tcPr>
          <w:p>
            <w:r>
              <w:t>Not significant</w:t>
            </w:r>
          </w:p>
        </w:tc>
      </w:tr>
    </w:tbl>
    <w:p>
      <w:pPr>
        <w:pStyle w:val="BodyText"/>
      </w:pPr>
      <w:r>
        <w:t>Notes. Cell entries report β coefficients with HC1-robust p-values from the full specifications. n.s. = not statistically significant at conventional thresholds. Interaction terms entered as FSTS_c × DAI_z and FSTS_c² × DAI_z; the table reports the focal linear interaction.</w:t>
      </w:r>
    </w:p>
    <w:p>
      <w:pPr>
        <w:pStyle w:val="Heading2"/>
      </w:pPr>
      <w:r>
        <w:t>4.5 Robustness</w:t>
      </w:r>
    </w:p>
    <w:p>
      <w:pPr>
        <w:pStyle w:val="FirstParagraph"/>
      </w:pPr>
      <w:r>
        <w:t>The substantive findings survive the standard robustness checks distributed with the replication package. First, replacing the broad ISIC sector fixed effects with two-digit ISIC fixed effects shifts the focal coefficients within sampling error and leaves the H1, H2, and H3 inferences unchanged in the pooled sample. Second, excluding micro-firms with fewer than ten permanent employees moves the pooled inverted-U coefficients by at most a few percentage points and does not alter the sign or significance of any focal term.</w:t>
      </w:r>
    </w:p>
    <w:p>
      <w:pPr>
        <w:pStyle w:val="BodyText"/>
      </w:pPr>
      <w:r>
        <w:t>Third, an enriched TCI_full composite that adds product-innovation and R&amp;D indicators to b8 (quality certification) and e6 (foreign-licensed technology) is constructed for the 2015 and 2023 waves where those items are available. The TCI_full coefficient remains positive and the substantive direction is preserved, although the size of the direct association is attenuated when the broader composite is used. Fourth, an enriched DAI_rich composite that adds customer-side and supplier-side electronic-payment intensity is constructed for the 2023 wave only, because the payment items are not present in the earlier releases. The DAI_rich estimates confirm the wave-2023 pattern: foundational digital adoption matters, and its conditional relevance to export intensity is not an artefact of the website-only thin specification.</w:t>
      </w:r>
    </w:p>
    <w:p>
      <w:pPr>
        <w:pStyle w:val="BodyText"/>
      </w:pPr>
      <w:r>
        <w:t>Finally, sample-selection probes apply a manual Heckman two-step using the WBES sampling region as the exclusion restriction in the export-participation probit, and a complementary control-function specification using the generalised residual from the same probit. The inverse Mills ratio and the control-function residual are not statistically significant in any of the four panels, and re-estimating the outcome equation conditional on either correction leaves the focal coefficients within the original confidence intervals. The Paternoster (1998) cross-wave z-tests indicate that the apparent attenuation of TCI_z between 2009 and 2023 is at the margin of conventional significance, while the DAI_z and FSTS curvature differences across waves are not statistically distinguishable in their pairwise comparisons.</w:t>
      </w:r>
    </w:p>
    <w:p>
      <w:pPr>
        <w:pStyle w:val="Heading1"/>
      </w:pPr>
      <w:r>
        <w:t>5. Discussion</w:t>
      </w:r>
    </w:p>
    <w:p>
      <w:pPr>
        <w:pStyle w:val="Heading2"/>
      </w:pPr>
      <w:r>
        <w:t>5.1 Reinterpreting digital capability in Vietnam</w:t>
      </w:r>
    </w:p>
    <w:p>
      <w:pPr>
        <w:pStyle w:val="FirstParagraph"/>
      </w:pPr>
      <w:r>
        <w:t>The central implication of the findings is that digital capability in Vietnam should not be interpreted as a universal and temporally stable premium. Both TCI_z and DAI_z are beneficial on average, but their empirical salience changes across waves. This means that digitalisation is not simply a constant background advantage. It is a context-sensitive and stage-dependent source of performance heterogeneity.</w:t>
      </w:r>
    </w:p>
    <w:p>
      <w:pPr>
        <w:pStyle w:val="BodyText"/>
      </w:pPr>
      <w:r>
        <w:t>This interpretation helps reconcile the coexistence of positive pooled effects and uneven wave-specific results. The pooled model captures the average tendency for stronger capability to be associated with better performance. The wave-specific models show that this tendency is not equally strong in every phase. The value of digital capability therefore depends on where firms stand in the broader lifecycle of internationalisation and transition.</w:t>
      </w:r>
    </w:p>
    <w:p>
      <w:pPr>
        <w:pStyle w:val="Heading2"/>
      </w:pPr>
      <w:r>
        <w:t>5.2 Why the distinction between TCI and DAI matters</w:t>
      </w:r>
    </w:p>
    <w:p>
      <w:pPr>
        <w:pStyle w:val="FirstParagraph"/>
      </w:pPr>
      <w:r>
        <w:t>The results also strengthen the theoretical case for separating technological capability from foundational digital adoption. TCI_z captures deeper internal stocks of learning and operational upgrading. DAI_z captures a more practical digital layer that enables transactions and coordination. These are not interchangeable resources.</w:t>
      </w:r>
    </w:p>
    <w:p>
      <w:pPr>
        <w:pStyle w:val="BodyText"/>
      </w:pPr>
      <w:r>
        <w:t>The difference matters because the two constructs do not behave identically across periods. TCI_z appears to function more like a deeper competence base, while DAI_z appears more context sensitive. This supports a more careful approach to digitalisation in international business research, one that distinguishes between digital enablement and broader technological depth rather than collapsing them into a single label.</w:t>
      </w:r>
    </w:p>
    <w:p>
      <w:pPr>
        <w:pStyle w:val="Heading2"/>
      </w:pPr>
      <w:r>
        <w:t>5.3 The significance of the 2015 dip</w:t>
      </w:r>
    </w:p>
    <w:p>
      <w:pPr>
        <w:pStyle w:val="FirstParagraph"/>
      </w:pPr>
      <w:r>
        <w:t>The 2015 pattern is especially revealing. It shows that even when the nonlinear I–P structure becomes clearer, the direct payoff from capability variables can weaken. This suggests that firms may pass through a transitional stage in which export expansion remains important but the productivity contribution of capability resources becomes more difficult to realise or detect.</w:t>
      </w:r>
    </w:p>
    <w:p>
      <w:pPr>
        <w:pStyle w:val="BodyText"/>
      </w:pPr>
      <w:r>
        <w:t>Rather than treating this wave as an anomaly, it is more useful to interpret it as evidence of lifecycle heterogeneity. The dip demonstrates why pooled averages alone are insufficient. Without the wave-specific analysis, one would miss the possibility that capability payoffs compress or fade temporarily before re-emerging in a later phase.</w:t>
      </w:r>
    </w:p>
    <w:p>
      <w:pPr>
        <w:pStyle w:val="Heading2"/>
      </w:pPr>
      <w:r>
        <w:t>5.4 Managerial implications</w:t>
      </w:r>
    </w:p>
    <w:p>
      <w:pPr>
        <w:pStyle w:val="FirstParagraph"/>
      </w:pPr>
      <w:r>
        <w:t>The managerial implication is not that firms should invest less in digitalisation. Rather, it is that digitalisation should be aligned with organisational readiness and international scale. Foundational digital tools may create value, but the payoff depends on whether those tools are embedded in routines that support export coordination and performance.</w:t>
      </w:r>
    </w:p>
    <w:p>
      <w:pPr>
        <w:pStyle w:val="BodyText"/>
      </w:pPr>
      <w:r>
        <w:t>Managers should also avoid conflating basic digital adoption with deeper technological capability. A firm may adopt digital tools without having the learning and upgrading capacity needed to sustain performance gains over time. Conversely, stronger internal capability may allow the firm to convert relatively basic digital adoption into more meaningful outcomes. This distinction is especially important in transitional economies, where firms move through uneven stages of capability development.</w:t>
      </w:r>
    </w:p>
    <w:p>
      <w:pPr>
        <w:pStyle w:val="Heading2"/>
      </w:pPr>
      <w:r>
        <w:t>5.5 Policy implications</w:t>
      </w:r>
    </w:p>
    <w:p>
      <w:pPr>
        <w:pStyle w:val="FirstParagraph"/>
      </w:pPr>
      <w:r>
        <w:t>We frame the policy reading as tentative considerations rather than directive prescriptions. The associational nature of the evidence, the breadth of the wave-specific heterogeneity, and the single-economy scope all weigh against converting the findings into firm policy targets. With those caveats kept explicit, three considerations follow for Vietnam’s trade and digital-economy policy design.</w:t>
      </w:r>
    </w:p>
    <w:p>
      <w:pPr>
        <w:pStyle w:val="BodyText"/>
      </w:pPr>
      <w:r>
        <w:t>First, export-promotion instruments designed around a uniformly positive internationalisation premium will overshoot in transitional periods such as the 2015 wave, when capability payoffs were compressed even as export intensity remained productivity-relevant. Targeting export support at firms positioned in the entry-cost zone, rather than at firms already operating at high export intensity, is consistent with the curvature documented in the pooled and later-wave samples. Second, digital-economy programmes that treat foundational adoption (websites, basic e-payment) as a sufficient policy lever are likely to be attenuated by the implementation lag and by the conditional nature of the digital channel at higher export intensity. Programmes that bundle Tier 1–2 digital adoption with deeper capability upgrading — quality certification, absorptive-capacity investment, organisational routines for cross-border coordination — will be more consistent with the pattern that emerges in 2023.</w:t>
      </w:r>
    </w:p>
    <w:p>
      <w:pPr>
        <w:pStyle w:val="BodyText"/>
      </w:pPr>
      <w:r>
        <w:t>Third, the lifecycle reading suggests that policy evaluation windows matter. A digital-transformation programme assessed only against a 2015-style transitional baseline would understate its long-run productivity contribution; a programme assessed against a 2009-style or 2023-style baseline would overstate it relative to the in-between phase. Policy evaluation that takes the lifecycle structure seriously will couple short-window outcome measurement with sustained measurement of the capability and infrastructure environment in which firms operate.</w:t>
      </w:r>
    </w:p>
    <w:p>
      <w:pPr>
        <w:pStyle w:val="Heading1"/>
      </w:pPr>
      <w:r>
        <w:t>6. Limitations and future research</w:t>
      </w:r>
    </w:p>
    <w:p>
      <w:pPr>
        <w:pStyle w:val="FirstParagraph"/>
      </w:pPr>
      <w:r>
        <w:t>The findings should be read against five limitations. First and most fundamentally, the WBES microdata are repeated cross-sections rather than a true firm panel. Within-firm change over time cannot be identified, and time-invariant unobserved heterogeneity cannot be netted out at the firm level. The associational language used throughout the paper reflects this constraint and should not be relaxed in any reader’s interpretation of the results.</w:t>
      </w:r>
    </w:p>
    <w:p>
      <w:pPr>
        <w:pStyle w:val="BodyText"/>
      </w:pPr>
      <w:r>
        <w:t>Second, the DAI_z composite captures a foundational layer of digital adoption (digital presence and basic digital transaction support) rather than the full depth of digitally integrated organisational capability. The DAI_rich extension for the 2023 wave shows that the conditional pattern survives when richer items are available, but a panel of digitally integrated firms with deeper measurement would tighten the construct further.</w:t>
      </w:r>
    </w:p>
    <w:p>
      <w:pPr>
        <w:pStyle w:val="BodyText"/>
      </w:pPr>
      <w:r>
        <w:t>Third, the analysis is conducted on a single transitional economy. Vietnam is informative precisely because its institutional and digital environment shifted noticeably across the 2009–2023 observation window, but the lifecycle pattern documented here may not generalise without modification to economies whose digital infrastructure or export composition follows a different trajectory.</w:t>
      </w:r>
    </w:p>
    <w:p>
      <w:pPr>
        <w:pStyle w:val="BodyText"/>
      </w:pPr>
      <w:r>
        <w:t>Fourth, the cross-wave comparisons are descriptive: the Paternoster (1998) z-tests indicate which differences across waves are statistically distinguishable but do not identify the institutional or compositional mechanisms that drive the shift between the 2009, 2015, and 2023 patterns. Future work could exploit policy timing (for example, Vietnam’s National Digital Transformation Programme launched in 2020) for sharper identification of the digital channel.</w:t>
      </w:r>
    </w:p>
    <w:p>
      <w:pPr>
        <w:pStyle w:val="BodyText"/>
      </w:pPr>
      <w:r>
        <w:t>Fifth, the sector fixed effects are intentionally broad to keep the comparison comparable across waves. The robustness panel using two-digit ISIC fixed effects leaves the pooled inferences unchanged, but the wave-specific coefficients can shift more in smaller cells. Industry-level mechanisms — for example, whether the digital channel works differently in services versus manufacturing — are a natural extension that this design does not pursue here.</w:t>
      </w:r>
    </w:p>
    <w:p>
      <w:pPr>
        <w:pStyle w:val="Heading1"/>
      </w:pPr>
      <w:r>
        <w:t>7. Conclusion</w:t>
      </w:r>
    </w:p>
    <w:p>
      <w:pPr>
        <w:pStyle w:val="FirstParagraph"/>
      </w:pPr>
      <w:r>
        <w:t>This study revisits the I–P relationship in Vietnam by distinguishing technological capability from foundational digital adoption and by comparing pooled and wave-specific evidence. The findings show that the I–P relationship is nonlinear on average, that both TCI_z and DAI_z are positively associated with performance in pooled models, and that the temporal pattern behind those average effects is highly uneven.</w:t>
      </w:r>
    </w:p>
    <w:p>
      <w:pPr>
        <w:pStyle w:val="BodyText"/>
      </w:pPr>
      <w:r>
        <w:t>The central theoretical implication is that digital capability in a transitional economy is best understood as a stage-contingent resource. Its value is real, but it is not uniformly distributed across time or across stages of internationalisation. This lifecycle perspective helps explain why average estimates can be informative while still concealing important differences in the timing and form of digital payoff.</w:t>
      </w:r>
    </w:p>
    <w:p>
      <w:pPr>
        <w:pStyle w:val="Heading1"/>
      </w:pPr>
      <w:r>
        <w:t>Acknowledgements</w:t>
      </w:r>
    </w:p>
    <w:p>
      <w:pPr>
        <w:pStyle w:val="FirstParagraph"/>
      </w:pPr>
      <w:r>
        <w:t>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and the relevant funding agency bear no responsibility for use of the data or for interpretations or inferences based upon such uses. The findings, interpretations, and conclusions expressed in this paper are entirely those of the authors.</w:t>
      </w:r>
    </w:p>
    <w:p>
      <w:pPr>
        <w:pStyle w:val="BodyText"/>
      </w:pPr>
      <w:r>
        <w:t>The authors received no specific grant from any funding agency in the public, commercial, or not-for-profit sectors for the research, authorship, or publication of this article.</w:t>
      </w:r>
    </w:p>
    <w:p>
      <w:pPr>
        <w:pStyle w:val="Heading1"/>
      </w:pPr>
      <w:r>
        <w:t>Data availability</w:t>
      </w:r>
    </w:p>
    <w:p>
      <w:pPr>
        <w:pStyle w:val="FirstParagraph"/>
      </w:pPr>
      <w:r>
        <w:t>The Vietnam WBES 2009, 2015, and 2023 microdata are publicly available from https://www.enterprisesurveys.org/en/data subject to registration with the Enterprise Analysis Unit and acceptance of the WBES Data Access Protocol. The replication package distributed with this paper (p4_vietnam/) contains the full Stata pipeline that reproduces every coefficient, table, and figure reported above from the public releases.</w:t>
      </w:r>
    </w:p>
    <w:p>
      <w:pPr>
        <w:pStyle w:val="Heading1"/>
      </w:pPr>
      <w:r>
        <w:t>Figures</w:t>
      </w:r>
    </w:p>
    <w:p>
      <w:pPr>
        <w:pStyle w:val="FirstParagraph"/>
      </w:pPr>
      <w:r>
        <w:t>Figure 1. Conceptual model. Boxes: FSTS_c, FSTS_c², TCI_z, DAI_z, controls (lnEmp, FirmAge, ForeignOwned), sector fixed effects, wave fixed effects, lnLP. Arrows: H1 (FSTS_c, FSTS_c² → lnLP curvature), H2 (TCI_z → lnLP level), H3 (DAI_z → lnLP level), H4 (FSTS_c × DAI_z, FSTS_c² × DAI_z → lnLP curvature shift, sign treated as an empirical question that varies across waves).</w:t>
      </w:r>
    </w:p>
    <w:p>
      <w:pPr>
        <w:pStyle w:val="BodyText"/>
      </w:pPr>
      <w:r>
        <w:t>Figure 2. Predicted lnLP across direct-export intensity by wave and pooled. Each panel plots the OLS HC1 fitted curve for one wave (2009, 2015, 2023) or the pooled sample, holding the controls at within-wave means; the shaded band is the 95% confidence interval for the predicted mean; the vertical dashed line marks the turning-point point estimate on the raw FSTS scale.</w:t>
      </w:r>
    </w:p>
    <w:p>
      <w:pPr>
        <w:pStyle w:val="Heading1"/>
      </w:pPr>
      <w:r>
        <w:t>Tables</w:t>
      </w:r>
    </w:p>
    <w:p>
      <w:pPr>
        <w:pStyle w:val="FirstParagraph"/>
      </w:pPr>
      <w:r>
        <w:t>Table 2 (baseline) — tables/table_2_baseline.csv. Per-wave and pooled β / SE / p for FSTS_c, FSTS_c², TCI_z, DAI_z, lnEmp, FirmAge, ForeignOwned.</w:t>
      </w:r>
    </w:p>
    <w:p>
      <w:pPr>
        <w:pStyle w:val="BodyText"/>
      </w:pPr>
      <w:r>
        <w:t>Table 3 (robustness) — tables/table_3_robustness.csv. Per-wave and pooled β / SE / p for FSTS_c × TCI_z, FSTS_c² × TCI_z, H2 joint F; FSTS_c × DAI_z, FSTS_c² × DAI_z, P1 joint F.</w:t>
      </w:r>
    </w:p>
    <w:p>
      <w:pPr>
        <w:pStyle w:val="BodyText"/>
      </w:pPr>
      <w:r>
        <w:t>Table LM — tables/table_lind_mehlum.csv. Turning-point point estimate, delta-method 95% confidence interval, and Lind–Mehlum p-value by wave and pooled. Replication package and instructions: see p4_vietnam/README.md.</w:t>
      </w:r>
    </w:p>
    <w:p>
      <w:pPr>
        <w:pStyle w:val="Heading1"/>
      </w:pPr>
      <w:r>
        <w:t>References</w:t>
      </w:r>
    </w:p>
    <w:p>
      <w:pPr>
        <w:pStyle w:val="BodyText"/>
      </w:pPr>
      <w:r>
        <w:t>Bharadwaj, A., El Sawy, O. A., Pavlou, P. A., &amp; Venkatraman, N. (2013). Digital business strategy: Toward a next generation of insights. MIS Quarterly, 37(2), 471–482. https://doi.org/10.25300/MISQ/2013/37:2.3</w:t>
      </w:r>
    </w:p>
    <w:p>
      <w:pPr>
        <w:pStyle w:val="BodyText"/>
      </w:pPr>
      <w:r>
        <w:t>Cohen, W. M., &amp; Levinthal, D. A. (1990). Absorptive capacity: A new perspective on learning and innovation. Administrative Science Quarterly, 35(1), 128–152. https://doi.org/10.2307/2393553</w:t>
      </w:r>
    </w:p>
    <w:p>
      <w:pPr>
        <w:pStyle w:val="BodyText"/>
      </w:pPr>
      <w:r>
        <w:t>Heckman, J. J. (1979). Sample selection bias as a specification error. Econometrica, 47(1), 153–161. https://doi.org/10.2307/1912352</w:t>
      </w:r>
    </w:p>
    <w:p>
      <w:pPr>
        <w:pStyle w:val="BodyText"/>
      </w:pPr>
      <w:r>
        <w:t>Lall, S. (1992). Technological capabilities and industrialization. World Development, 20(2), 165–186.</w:t>
      </w:r>
    </w:p>
    <w:p>
      <w:pPr>
        <w:pStyle w:val="BodyText"/>
      </w:pPr>
      <w:r>
        <w:t>Lind, J. T., &amp; Mehlum, H. (2010). With or without U? The appropriate test for a U-shaped relationship. Oxford Bulletin of Economics and Statistics, 72(1), 109–118. https://doi.org/10.1111/j.1468-0084.2009.00569.x</w:t>
      </w:r>
    </w:p>
    <w:p>
      <w:pPr>
        <w:pStyle w:val="BodyText"/>
      </w:pPr>
      <w:r>
        <w:t>Marano, V., Arregle, J.-L., Hitt, M. A., Spadafora, E., &amp; van Essen, M. (2016). Home country institutions and the internationalization–performance relationship: A meta-analytic review. Journal of Management, 42(5), 1075–1110. https://doi.org/10.1177/0149206315624963</w:t>
      </w:r>
    </w:p>
    <w:p>
      <w:pPr>
        <w:pStyle w:val="BodyText"/>
      </w:pPr>
      <w:r>
        <w:t>Paternoster, R., Brame, R., Mazerolle, P., &amp; Piquero, A. (1998). Using the correct statistical test for the equality of regression coefficients. Criminology, 36(4), 859–866. https://doi.org/10.1111/j.1745-9125.1998.tb01268.x</w:t>
      </w:r>
    </w:p>
    <w:p>
      <w:pPr>
        <w:pStyle w:val="BodyText"/>
      </w:pPr>
      <w:r>
        <w:t>Verhoef, P. C., Broekhuizen, T., Bart, Y., Bhattacharya, A., Dong, J. Q., Fabian, N., &amp; Haenlein, M. (2021). Digital transformation: A multidisciplinary reflection and research agenda. Journal of Business Research, 122, 889–901. https://doi.org/10.1016/j.jbusres.2019.09.022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53" Type="http://schemas.openxmlformats.org/officeDocument/2006/relationships/image" Target="media/rId53.png"/><Relationship Id="rId30" Type="http://schemas.openxmlformats.org/officeDocument/2006/relationships/hyperlink" Target="https://www.enterprisesurveys.org/en/data"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www.enterprisesurveys.org/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2026-05-01T08:13:10Z</dcterms:created>
  <dcterms:modified xsi:type="dcterms:W3CDTF">2026-05-01T08:13:10Z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