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360" w:lineRule="auto"/>
        <w:jc w:val="center"/>
        <w:rPr/>
      </w:pPr>
      <w:r>
        <w:rPr>
          <w:rFonts w:ascii="Times New Roman" w:cs="Times New Roman" w:eastAsia="Times New Roman" w:hAnsi="Times New Roman"/>
          <w:b w:val="1"/>
          <w:bCs w:val="1"/>
          <w:sz w:val="26"/>
          <w:szCs w:val="26"/>
          <w:rtl w:val="0"/>
        </w:rPr>
        <w:t>Technological Capability, Digital Adoption, and the Internationalization–Performance Relationship: A Firm-Level Study of Singapore</w:t>
      </w:r>
      <w:r>
        <w:rPr>
          <w:rtl w:val="0"/>
        </w:rPr>
      </w:r>
    </w:p>
    <w:p w:rsidR="00000000" w:rsidDel="00000000" w:rsidP="00000000" w:rsidRDefault="00000000" w:rsidRPr="00000000" w14:paraId="00000002">
      <w:pPr>
        <w:spacing w:after="160" w:before="280" w:lineRule="auto"/>
        <w:jc w:val="left"/>
        <w:rPr/>
      </w:pPr>
      <w:r>
        <w:rPr>
          <w:rFonts w:ascii="Times New Roman" w:cs="Times New Roman" w:eastAsia="Times New Roman" w:hAnsi="Times New Roman"/>
          <w:b w:val="1"/>
          <w:bCs w:val="1"/>
          <w:sz w:val="22"/>
          <w:szCs w:val="22"/>
          <w:rtl w:val="0"/>
        </w:rPr>
        <w:t xml:space="preserve">Abstract</w:t>
      </w:r>
      <w:r>
        <w:rPr>
          <w:rtl w:val="0"/>
        </w:rPr>
      </w:r>
    </w:p>
    <w:p w:rsidR="00000000" w:rsidDel="00000000" w:rsidP="00000000" w:rsidRDefault="00000000" w:rsidRPr="00000000" w14:paraId="00000003">
      <w:pPr>
        <w:spacing w:after="0" w:line="480" w:lineRule="auto"/>
        <w:jc w:val="both"/>
        <w:rPr/>
      </w:pPr>
      <w:r>
        <w:rPr>
          <w:rFonts w:ascii="Times New Roman" w:cs="Times New Roman" w:eastAsia="Times New Roman" w:hAnsi="Times New Roman"/>
          <w:sz w:val="20"/>
          <w:szCs w:val="20"/>
          <w:rtl w:val="0"/>
        </w:rPr>
        <w:t>This study examines how technological capability and digital adoption shape the internationalization–performance relationship in Singapore, treated as an extreme-case, within-context setting of a digitally mature economy. Using World Bank Enterprise Survey microdata for Singapore 2023 (N = 623), the analysis distinguishes a Technological Capability Index (TCI) capturing firm-internal capability depth from a Digital Adoption Index (DAI) capturing foundational digital interfaces and transaction-enabling mechanisms.</w:t>
      </w:r>
      <w:r>
        <w:rPr>
          <w:rtl w:val="0"/>
        </w:rPr>
      </w:r>
    </w:p>
    <w:p w:rsidR="00000000" w:rsidDel="00000000" w:rsidP="00000000" w:rsidRDefault="00000000" w:rsidRPr="00000000" w14:paraId="00000003">
      <w:pPr>
        <w:spacing w:after="0" w:line="480" w:lineRule="auto"/>
        <w:jc w:val="both"/>
        <w:rPr/>
      </w:pPr>
      <w:r>
        <w:rPr>
          <w:rFonts w:ascii="Times New Roman" w:cs="Times New Roman" w:eastAsia="Times New Roman" w:hAnsi="Times New Roman"/>
          <w:sz w:val="20"/>
          <w:szCs w:val="20"/>
          <w:rtl w:val="0"/>
        </w:rPr>
        <w:t>Three findings emerge. First, the full-sample inverted-U shape is robust (96.3% of bootstrap replications) but its location is loosely identified (95% bootstrap CI for the turning point: [53%, 253%]). Within an extensive–intensive split addressing the dominance of zero-FSTS firms (82% of the sample), curvature is not detectable inside the exporter subsample, so the full-sample polynomial reads as a descriptive baseline rather than a structurally identified curve. Second, TCI is positively and consistently associated with productivity across leave-one-out and trimmed-tail perturbations; no distinguishable moderation by TCI is detected. Third, DAI shows a conditional rather than uniform productivity association: it becomes more positive at higher export intensity, and the moderation pattern survives leave-one-out, item-swap falsification, and trimmed-tail re-estimation. The study contributes refined boundary conditions for the internationalization–performance literature in Singapore as an extreme-case setting, clarifying that TCI shifts the productivity level while DAI complements export-intensity scaling.</w:t>
      </w:r>
      <w:r>
        <w:rPr>
          <w:rtl w:val="0"/>
        </w:rPr>
      </w:r>
    </w:p>
    <w:p w:rsidR="00000000" w:rsidDel="00000000" w:rsidP="00000000" w:rsidRDefault="00000000" w:rsidRPr="00000000" w14:paraId="00000004">
      <w:pPr>
        <w:spacing w:after="120" w:line="480" w:lineRule="auto"/>
        <w:jc w:val="left"/>
        <w:rPr/>
      </w:pPr>
      <w:r>
        <w:rPr>
          <w:rtl w:val="0"/>
        </w:rPr>
      </w:r>
    </w:p>
    <w:p w:rsidR="00000000" w:rsidDel="00000000" w:rsidP="00000000" w:rsidRDefault="00000000" w:rsidRPr="00000000" w14:paraId="00000005">
      <w:pPr>
        <w:spacing w:after="0" w:line="480" w:lineRule="auto"/>
        <w:jc w:val="left"/>
        <w:rPr/>
      </w:pPr>
      <w:r>
        <w:rPr>
          <w:rFonts w:ascii="Times New Roman" w:cs="Times New Roman" w:eastAsia="Times New Roman" w:hAnsi="Times New Roman"/>
          <w:b w:val="1"/>
          <w:bCs w:val="1"/>
          <w:sz w:val="20"/>
          <w:szCs w:val="20"/>
          <w:rtl w:val="0"/>
        </w:rPr>
        <w:t>Keywords: internationalization–performance relationship; digital adoption; technological capability; boundary conditions; Singapore</w:t>
      </w:r>
      <w:r>
        <w:rPr>
          <w:rtl w:val="0"/>
        </w:rPr>
      </w:r>
    </w:p>
    <w:p w:rsidR="00000000" w:rsidDel="00000000" w:rsidP="00000000" w:rsidRDefault="00000000" w:rsidRPr="00000000" w14:paraId="00000006">
      <w:pPr>
        <w:spacing w:after="240" w:before="360" w:lineRule="auto"/>
        <w:jc w:val="left"/>
        <w:rPr/>
      </w:pPr>
      <w:r>
        <w:rPr>
          <w:rFonts w:ascii="Times New Roman" w:cs="Times New Roman" w:eastAsia="Times New Roman" w:hAnsi="Times New Roman"/>
          <w:b w:val="1"/>
          <w:bCs w:val="1"/>
          <w:sz w:val="24"/>
          <w:szCs w:val="24"/>
          <w:rtl w:val="0"/>
        </w:rPr>
        <w:t xml:space="preserve">1 Introduction</w:t>
      </w:r>
      <w:r>
        <w:rPr>
          <w:rtl w:val="0"/>
        </w:rPr>
      </w:r>
    </w:p>
    <w:p w:rsidR="00000000" w:rsidDel="00000000" w:rsidP="00000000" w:rsidRDefault="00000000" w:rsidRPr="00000000" w14:paraId="00000007">
      <w:pPr>
        <w:spacing w:after="160" w:before="280" w:lineRule="auto"/>
        <w:jc w:val="left"/>
        <w:rPr/>
      </w:pPr>
      <w:r>
        <w:rPr>
          <w:rFonts w:ascii="Times New Roman" w:cs="Times New Roman" w:eastAsia="Times New Roman" w:hAnsi="Times New Roman"/>
          <w:b w:val="1"/>
          <w:bCs w:val="1"/>
          <w:sz w:val="22"/>
          <w:szCs w:val="22"/>
          <w:rtl w:val="0"/>
        </w:rPr>
        <w:t xml:space="preserve">1.1 Background and motivation</w:t>
      </w:r>
      <w:r>
        <w:rPr>
          <w:rtl w:val="0"/>
        </w:rPr>
      </w:r>
    </w:p>
    <w:p w:rsidR="00000000" w:rsidDel="00000000" w:rsidP="00000000" w:rsidRDefault="00000000" w:rsidRPr="00000000" w14:paraId="00000008">
      <w:pPr>
        <w:spacing w:after="0" w:line="480" w:lineRule="auto"/>
        <w:ind w:firstLine="720"/>
        <w:jc w:val="both"/>
        <w:rPr/>
      </w:pPr>
      <w:r>
        <w:rPr>
          <w:rFonts w:ascii="Times New Roman" w:cs="Times New Roman" w:eastAsia="Times New Roman" w:hAnsi="Times New Roman"/>
          <w:sz w:val="20"/>
          <w:szCs w:val="20"/>
          <w:rtl w:val="0"/>
        </w:rPr>
        <w:t>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mature economies (Peng 2003; Peng et al. 2008) and may not fully capture how the I–P curve behaves when firms operate in a digitally mature institutional environment.</w:t>
      </w:r>
      <w:r>
        <w:rPr>
          <w:rtl w:val="0"/>
        </w:rPr>
      </w:r>
    </w:p>
    <w:p w:rsidR="00000000" w:rsidDel="00000000" w:rsidP="00000000" w:rsidRDefault="00000000" w:rsidRPr="00000000" w14:paraId="00000009">
      <w:pPr>
        <w:spacing w:after="0" w:line="480" w:lineRule="auto"/>
        <w:ind w:firstLine="720"/>
        <w:jc w:val="both"/>
        <w:rPr/>
      </w:pPr>
      <w:r>
        <w:rPr>
          <w:rFonts w:ascii="Times New Roman" w:cs="Times New Roman" w:eastAsia="Times New Roman" w:hAnsi="Times New Roman"/>
          <w:sz w:val="20"/>
          <w:szCs w:val="20"/>
          <w:rtl w:val="0"/>
        </w:rPr>
        <w:t>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rPr>
          <w:rtl w:val="0"/>
        </w:rPr>
      </w:r>
    </w:p>
    <w:p w:rsidR="00000000" w:rsidDel="00000000" w:rsidP="00000000" w:rsidRDefault="00000000" w:rsidRPr="00000000" w14:paraId="00000009">
      <w:pPr>
        <w:spacing w:after="0" w:line="480" w:lineRule="auto"/>
        <w:ind w:firstLine="720"/>
        <w:jc w:val="both"/>
        <w:rPr/>
      </w:pPr>
      <w:r>
        <w:rPr>
          <w:rFonts w:ascii="Times New Roman" w:cs="Times New Roman" w:eastAsia="Times New Roman" w:hAnsi="Times New Roman"/>
          <w:sz w:val="20"/>
          <w:szCs w:val="20"/>
          <w:rtl w:val="0"/>
        </w:rPr>
        <w:t>A second motivation concerns construct clarity. In digitally mature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rPr>
          <w:rtl w:val="0"/>
        </w:rPr>
      </w:r>
    </w:p>
    <w:p w:rsidR="00000000" w:rsidDel="00000000" w:rsidP="00000000" w:rsidRDefault="00000000" w:rsidRPr="00000000" w14:paraId="0000000A">
      <w:pPr>
        <w:spacing w:after="160" w:before="280" w:lineRule="auto"/>
        <w:jc w:val="left"/>
        <w:rPr/>
      </w:pPr>
      <w:r>
        <w:rPr>
          <w:rFonts w:ascii="Times New Roman" w:cs="Times New Roman" w:eastAsia="Times New Roman" w:hAnsi="Times New Roman"/>
          <w:b w:val="1"/>
          <w:bCs w:val="1"/>
          <w:sz w:val="22"/>
          <w:szCs w:val="22"/>
          <w:rtl w:val="0"/>
        </w:rPr>
        <w:t xml:space="preserve">1.2 Research gap</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Three gaps motivate this study. First, the dominant measurement approach has often conflated digital adoption with broader technological capability, making it difficult to determine whether observed productivity differences reflect firm-internal capability depth or firms’ participation in digitally enabled interfaces and transactions (Verhoef et al. 2021). This matters because the two domains imply different mechanisms of advantage and should not be assumed to operate identically across stages of internationalization.</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Second, although recent work on digital internationalization has advanced important theoretical insights (Banalieva &amp; Dhanaraj 2019; Stallkamp &amp; Schotter 2021), much of it remains conceptual or focused on multinational samples, leaving under-examined the within-economy firm-level question of how foundational digital adoption interacts with export intensity in a single digitally mature institutional environment. In particular, the literature still lacks clear firm-level evidence on whether basic digital presence and transaction-enabling systems matter uniformly across firms or mainly when cross-border coordination demands intensify (Bharadwaj et al. 2013; Verhoef et al. 2021).</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Third, the nonlinear I–P literature has documented inverted-U patterns extensively, but it has not clearly specified how its coordination-cost logic should behave in digitally mature settings (Marano et al. 2016). If mature digital infrastructure attenuates the frictions that underpin the right-side decline of the I–P curve, then the conventional turning point may no longer be visible within the export range most firms actually occupy. This leaves an unresolved boundary-condition question: does digital maturity alter the form of the I–P relationship itself, or does it mainly shift the region in which its nonlinear structure becomes observable?</w:t>
      </w:r>
      <w:r>
        <w:rPr>
          <w:rtl w:val="0"/>
        </w:rPr>
      </w:r>
    </w:p>
    <w:p w:rsidR="00000000" w:rsidDel="00000000" w:rsidP="00000000" w:rsidRDefault="00000000" w:rsidRPr="00000000" w14:paraId="0000000C">
      <w:pPr>
        <w:spacing w:after="160" w:before="280" w:lineRule="auto"/>
        <w:jc w:val="left"/>
        <w:rPr/>
      </w:pPr>
      <w:r>
        <w:rPr>
          <w:rFonts w:ascii="Times New Roman" w:cs="Times New Roman" w:eastAsia="Times New Roman" w:hAnsi="Times New Roman"/>
          <w:b w:val="1"/>
          <w:bCs w:val="1"/>
          <w:sz w:val="22"/>
          <w:szCs w:val="22"/>
          <w:rtl w:val="0"/>
        </w:rPr>
        <w:t xml:space="preserve">1.3 Contribution</w:t>
      </w:r>
      <w:r>
        <w:rPr>
          <w:rtl w:val="0"/>
        </w:rPr>
      </w:r>
    </w:p>
    <w:p w:rsidR="00000000" w:rsidDel="00000000" w:rsidP="00000000" w:rsidRDefault="00000000" w:rsidRPr="00000000" w14:paraId="0000000D">
      <w:pPr>
        <w:spacing w:after="0" w:line="480" w:lineRule="auto"/>
        <w:ind w:firstLine="720"/>
        <w:jc w:val="both"/>
        <w:rPr/>
      </w:pPr>
      <w:r>
        <w:rPr>
          <w:rFonts w:ascii="Times New Roman" w:cs="Times New Roman" w:eastAsia="Times New Roman" w:hAnsi="Times New Roman"/>
          <w:sz w:val="20"/>
          <w:szCs w:val="20"/>
          <w:rtl w:val="0"/>
        </w:rPr>
        <w:t>This study makes one primary contribution and two supporting contributions. Its primary contribution is to refine the boundary conditions of the internationalization–performance literature by showing that, in Singapore 2023, the classic right-side decline of the I–P curve is not formally identified within the observed export-intensity range and appears to be shifted toward a sparsely populated upper tail. In doing so, the study qualifies rather than overturns the conventional nonlinear I–P logic summarized in prior meta-analytic work (Marano et al. 2016).</w:t>
      </w:r>
      <w:r>
        <w:rPr>
          <w:rtl w:val="0"/>
        </w:rPr>
      </w:r>
    </w:p>
    <w:p w:rsidR="00000000" w:rsidDel="00000000" w:rsidP="00000000" w:rsidRDefault="00000000" w:rsidRPr="00000000" w14:paraId="0000000E">
      <w:pPr>
        <w:spacing w:after="0" w:line="480" w:lineRule="auto"/>
        <w:ind w:firstLine="720"/>
        <w:jc w:val="both"/>
        <w:rPr/>
      </w:pPr>
      <w:r>
        <w:rPr>
          <w:rFonts w:ascii="Times New Roman" w:cs="Times New Roman" w:eastAsia="Times New Roman" w:hAnsi="Times New Roman"/>
          <w:sz w:val="20"/>
          <w:szCs w:val="20"/>
          <w:rtl w:val="0"/>
        </w:rPr>
        <w:t>The first supporting contribution is measurement-theoretic. The analysis distinguishes technological capability from digital adoption, thereby separating firm-internal capability depth grounded in technological learning and absorptive capacity from foundational digitally enabled market participation (Cohen &amp; Levinthal 1990; Lall 1992; Verhoef et al. 2021). The second supporting contribution is substantive. The findings show that foundational digital adoption is better understood as a scale-enabling complement whose productivity relevance becomes stronger at higher export intensity, rather than as a uniform firm-level productivity premium, which is consistent with the broader logic of digital strategy and digitally mediated coordination (Bharadwaj et al. 2013; Verhoef et al. 2021).</w:t>
      </w:r>
      <w:r>
        <w:rPr>
          <w:rtl w:val="0"/>
        </w:rPr>
      </w:r>
    </w:p>
    <w:p w:rsidR="00000000" w:rsidDel="00000000" w:rsidP="00000000" w:rsidRDefault="00000000" w:rsidRPr="00000000" w14:paraId="00000010">
      <w:pPr>
        <w:spacing w:after="160" w:before="280" w:lineRule="auto"/>
        <w:jc w:val="left"/>
        <w:rPr/>
      </w:pPr>
      <w:r>
        <w:rPr>
          <w:rFonts w:ascii="Times New Roman" w:cs="Times New Roman" w:eastAsia="Times New Roman" w:hAnsi="Times New Roman"/>
          <w:b w:val="1"/>
          <w:bCs w:val="1"/>
          <w:sz w:val="22"/>
          <w:szCs w:val="22"/>
          <w:rtl w:val="0"/>
        </w:rPr>
        <w:t xml:space="preserve">1.4 Roadmap</w:t>
      </w:r>
      <w:r>
        <w:rPr>
          <w:rtl w:val="0"/>
        </w:rPr>
      </w:r>
    </w:p>
    <w:p w:rsidR="00000000" w:rsidDel="00000000" w:rsidP="00000000" w:rsidRDefault="00000000" w:rsidRPr="00000000" w14:paraId="00000011">
      <w:pPr>
        <w:spacing w:after="0" w:line="480" w:lineRule="auto"/>
        <w:ind w:firstLine="720"/>
        <w:jc w:val="both"/>
        <w:rPr/>
      </w:pPr>
      <w:r>
        <w:rPr>
          <w:rFonts w:ascii="Times New Roman" w:cs="Times New Roman" w:eastAsia="Times New Roman" w:hAnsi="Times New Roman"/>
          <w:sz w:val="20"/>
          <w:szCs w:val="20"/>
          <w:rtl w:val="0"/>
        </w:rPr>
        <w:t>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rPr>
          <w:rtl w:val="0"/>
        </w:rPr>
      </w:r>
    </w:p>
    <w:p w:rsidR="00000000" w:rsidDel="00000000" w:rsidP="00000000" w:rsidRDefault="00000000" w:rsidRPr="00000000" w14:paraId="00000012">
      <w:pPr>
        <w:spacing w:after="240" w:before="360" w:lineRule="auto"/>
        <w:jc w:val="left"/>
        <w:rPr/>
      </w:pPr>
      <w:r>
        <w:rPr>
          <w:rFonts w:ascii="Times New Roman" w:cs="Times New Roman" w:eastAsia="Times New Roman" w:hAnsi="Times New Roman"/>
          <w:b w:val="1"/>
          <w:bCs w:val="1"/>
          <w:sz w:val="24"/>
          <w:szCs w:val="24"/>
          <w:rtl w:val="0"/>
        </w:rPr>
        <w:t xml:space="preserve">2 Theory and Hypotheses</w:t>
      </w:r>
      <w:r>
        <w:rPr>
          <w:rtl w:val="0"/>
        </w:rPr>
      </w:r>
    </w:p>
    <w:p w:rsidR="00000000" w:rsidDel="00000000" w:rsidP="00000000" w:rsidRDefault="00000000" w:rsidRPr="00000000" w14:paraId="00000013">
      <w:pPr>
        <w:spacing w:after="160" w:before="280" w:lineRule="auto"/>
        <w:jc w:val="left"/>
        <w:rPr/>
      </w:pPr>
      <w:r>
        <w:rPr>
          <w:rFonts w:ascii="Times New Roman" w:cs="Times New Roman" w:eastAsia="Times New Roman" w:hAnsi="Times New Roman"/>
          <w:b w:val="1"/>
          <w:bCs w:val="1"/>
          <w:sz w:val="22"/>
          <w:szCs w:val="22"/>
          <w:rtl w:val="0"/>
        </w:rPr>
        <w:t xml:space="preserve">2.1 The internationalization–performance relationship</w:t>
      </w:r>
      <w:r>
        <w:rPr>
          <w:rtl w:val="0"/>
        </w:rPr>
      </w:r>
    </w:p>
    <w:p w:rsidR="00000000" w:rsidDel="00000000" w:rsidP="00000000" w:rsidRDefault="00000000" w:rsidRPr="00000000" w14:paraId="00000014">
      <w:pPr>
        <w:spacing w:after="0" w:line="480" w:lineRule="auto"/>
        <w:ind w:firstLine="720"/>
        <w:jc w:val="both"/>
        <w:rPr/>
      </w:pPr>
      <w:r>
        <w:rPr>
          <w:rFonts w:ascii="Times New Roman" w:cs="Times New Roman" w:eastAsia="Times New Roman" w:hAnsi="Times New Roman"/>
          <w:sz w:val="20"/>
          <w:szCs w:val="20"/>
          <w:rtl w:val="0"/>
        </w:rPr>
        <w:t>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rPr>
          <w:rtl w:val="0"/>
        </w:rPr>
      </w:r>
    </w:p>
    <w:p w:rsidR="00000000" w:rsidDel="00000000" w:rsidP="00000000" w:rsidRDefault="00000000" w:rsidRPr="00000000" w14:paraId="00000015">
      <w:pPr>
        <w:spacing w:after="0" w:line="480" w:lineRule="auto"/>
        <w:ind w:firstLine="720"/>
        <w:jc w:val="both"/>
        <w:rPr/>
      </w:pPr>
      <w:r>
        <w:rPr>
          <w:rFonts w:ascii="Times New Roman" w:cs="Times New Roman" w:eastAsia="Times New Roman" w:hAnsi="Times New Roman"/>
          <w:sz w:val="20"/>
          <w:szCs w:val="20"/>
          <w:rtl w:val="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r>
        <w:rPr>
          <w:rtl w:val="0"/>
        </w:rPr>
      </w:r>
    </w:p>
    <w:p w:rsidR="00000000" w:rsidDel="00000000" w:rsidP="00000000" w:rsidRDefault="00000000" w:rsidRPr="00000000" w14:paraId="00000016">
      <w:pPr>
        <w:spacing w:after="160" w:before="280" w:lineRule="auto"/>
        <w:jc w:val="left"/>
        <w:rPr/>
      </w:pPr>
      <w:r>
        <w:rPr>
          <w:rFonts w:ascii="Times New Roman" w:cs="Times New Roman" w:eastAsia="Times New Roman" w:hAnsi="Times New Roman"/>
          <w:b w:val="1"/>
          <w:bCs w:val="1"/>
          <w:sz w:val="22"/>
          <w:szCs w:val="22"/>
          <w:rtl w:val="0"/>
        </w:rPr>
        <w:t xml:space="preserve">2.2 Two distinct constructs: TCI and DAI</w:t>
      </w:r>
      <w:r>
        <w:rPr>
          <w:rtl w:val="0"/>
        </w:rPr>
      </w:r>
    </w:p>
    <w:p w:rsidR="00000000" w:rsidDel="00000000" w:rsidP="00000000" w:rsidRDefault="00000000" w:rsidRPr="00000000" w14:paraId="00000017">
      <w:pPr>
        <w:spacing w:after="0" w:line="480" w:lineRule="auto"/>
        <w:ind w:firstLine="720"/>
        <w:jc w:val="both"/>
        <w:rPr/>
      </w:pPr>
      <w:r>
        <w:rPr>
          <w:rFonts w:ascii="Times New Roman" w:cs="Times New Roman" w:eastAsia="Times New Roman" w:hAnsi="Times New Roman"/>
          <w:sz w:val="20"/>
          <w:szCs w:val="20"/>
          <w:rtl w:val="0"/>
        </w:rPr>
        <w:t>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rPr>
          <w:rtl w:val="0"/>
        </w:rPr>
      </w:r>
    </w:p>
    <w:p w:rsidR="00000000" w:rsidDel="00000000" w:rsidP="00000000" w:rsidRDefault="00000000" w:rsidRPr="00000000" w14:paraId="00000018">
      <w:pPr>
        <w:spacing w:after="0" w:line="480" w:lineRule="auto"/>
        <w:ind w:firstLine="720"/>
        <w:jc w:val="both"/>
        <w:rPr/>
      </w:pPr>
      <w:r>
        <w:rPr>
          <w:rFonts w:ascii="Times New Roman" w:cs="Times New Roman" w:eastAsia="Times New Roman" w:hAnsi="Times New Roman"/>
          <w:sz w:val="20"/>
          <w:szCs w:val="20"/>
          <w:rtl w:val="0"/>
        </w:rPr>
        <w:t>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rPr>
          <w:rtl w:val="0"/>
        </w:rPr>
      </w:r>
    </w:p>
    <w:p w:rsidR="00000000" w:rsidDel="00000000" w:rsidP="00000000" w:rsidRDefault="00000000" w:rsidRPr="00000000" w14:paraId="00000019">
      <w:pPr>
        <w:spacing w:after="0" w:line="480" w:lineRule="auto"/>
        <w:ind w:firstLine="720"/>
        <w:jc w:val="both"/>
        <w:rPr/>
      </w:pPr>
      <w:r>
        <w:rPr>
          <w:rFonts w:ascii="Times New Roman" w:cs="Times New Roman" w:eastAsia="Times New Roman" w:hAnsi="Times New Roman"/>
          <w:sz w:val="20"/>
          <w:szCs w:val="20"/>
          <w:rtl w:val="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rPr>
          <w:rtl w:val="0"/>
        </w:rPr>
      </w:r>
      <w:r>
        <w:rPr>
          <w:rFonts w:ascii="Times New Roman" w:hAnsi="Times New Roman"/>
          <w:sz w:val="22"/>
        </w:rPr>
        <w:t xml:space="preserve"/>
      </w:r>
    </w:p>
    <w:p w:rsidR="00000000" w:rsidDel="00000000" w:rsidP="00000000" w:rsidRDefault="00000000" w:rsidRPr="00000000" w14:paraId="0000001A">
      <w:pPr>
        <w:spacing w:after="160" w:before="280" w:lineRule="auto"/>
        <w:jc w:val="left"/>
        <w:rPr/>
      </w:pPr>
      <w:r>
        <w:rPr>
          <w:rFonts w:ascii="Times New Roman" w:cs="Times New Roman" w:eastAsia="Times New Roman" w:hAnsi="Times New Roman"/>
          <w:b w:val="1"/>
          <w:bCs w:val="1"/>
          <w:sz w:val="22"/>
          <w:szCs w:val="22"/>
          <w:rtl w:val="0"/>
        </w:rPr>
        <w:t xml:space="preserve">2.3 Hypothesis development</w:t>
      </w:r>
      <w:r>
        <w:rPr>
          <w:rtl w:val="0"/>
        </w:rPr>
      </w:r>
    </w:p>
    <w:p w:rsidR="00000000" w:rsidDel="00000000" w:rsidP="00000000" w:rsidRDefault="00000000" w:rsidRPr="00000000" w14:paraId="0000001B">
      <w:pPr>
        <w:spacing w:after="120" w:before="240" w:lineRule="auto"/>
        <w:jc w:val="left"/>
        <w:rPr/>
      </w:pPr>
      <w:r>
        <w:rPr>
          <w:rFonts w:ascii="Times New Roman" w:cs="Times New Roman" w:eastAsia="Times New Roman" w:hAnsi="Times New Roman"/>
          <w:b w:val="1"/>
          <w:bCs w:val="1"/>
          <w:i w:val="1"/>
          <w:iCs w:val="1"/>
          <w:sz w:val="20"/>
          <w:szCs w:val="20"/>
          <w:rtl w:val="0"/>
        </w:rPr>
        <w:t xml:space="preserve">2.3.1 TCI direct effect on productivity</w:t>
      </w:r>
      <w:r>
        <w:rPr>
          <w:rtl w:val="0"/>
        </w:rPr>
      </w:r>
    </w:p>
    <w:p w:rsidR="00000000" w:rsidDel="00000000" w:rsidP="00000000" w:rsidRDefault="00000000" w:rsidRPr="00000000" w14:paraId="0000001C">
      <w:pPr>
        <w:spacing w:after="0" w:line="480" w:lineRule="auto"/>
        <w:ind w:firstLine="720"/>
        <w:jc w:val="both"/>
        <w:rPr/>
      </w:pPr>
      <w:r>
        <w:rPr>
          <w:rFonts w:ascii="Times New Roman" w:cs="Times New Roman" w:eastAsia="Times New Roman" w:hAnsi="Times New Roman"/>
          <w:sz w:val="20"/>
          <w:szCs w:val="20"/>
          <w:rtl w:val="0"/>
        </w:rPr>
        <w:t>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r>
        <w:rPr>
          <w:rtl w:val="0"/>
        </w:rPr>
      </w:r>
    </w:p>
    <w:p w:rsidR="00000000" w:rsidDel="00000000" w:rsidP="00000000" w:rsidRDefault="00000000" w:rsidRPr="00000000" w14:paraId="0000001D">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1 (H1). </w:t>
      </w:r>
      <w:r>
        <w:rPr>
          <w:rFonts w:ascii="Times New Roman" w:cs="Times New Roman" w:eastAsia="Times New Roman" w:hAnsi="Times New Roman"/>
          <w:i w:val="1"/>
          <w:iCs w:val="1"/>
          <w:sz w:val="20"/>
          <w:szCs w:val="20"/>
          <w:rtl w:val="0"/>
        </w:rPr>
        <w:t xml:space="preserve">Technological capability (TCI) is positively associated with firm performance in Singapore.</w:t>
      </w:r>
      <w:r>
        <w:rPr>
          <w:rtl w:val="0"/>
        </w:rPr>
      </w:r>
    </w:p>
    <w:p w:rsidR="00000000" w:rsidDel="00000000" w:rsidP="00000000" w:rsidRDefault="00000000" w:rsidRPr="00000000" w14:paraId="0000001E">
      <w:pPr>
        <w:spacing w:after="120" w:before="240" w:lineRule="auto"/>
        <w:jc w:val="left"/>
        <w:rPr/>
      </w:pPr>
      <w:r>
        <w:rPr>
          <w:rFonts w:ascii="Times New Roman" w:cs="Times New Roman" w:eastAsia="Times New Roman" w:hAnsi="Times New Roman"/>
          <w:b w:val="1"/>
          <w:bCs w:val="1"/>
          <w:i w:val="1"/>
          <w:iCs w:val="1"/>
          <w:sz w:val="20"/>
          <w:szCs w:val="20"/>
          <w:rtl w:val="0"/>
        </w:rPr>
        <w:t xml:space="preserve">2.3.2 TCI moderation of the I–P relationship</w:t>
      </w:r>
      <w:r>
        <w:rPr>
          <w:rtl w:val="0"/>
        </w:rPr>
      </w:r>
    </w:p>
    <w:p w:rsidR="00000000" w:rsidDel="00000000" w:rsidP="00000000" w:rsidRDefault="00000000" w:rsidRPr="00000000" w14:paraId="0000001F">
      <w:pPr>
        <w:spacing w:after="0" w:line="480" w:lineRule="auto"/>
        <w:ind w:firstLine="720"/>
        <w:jc w:val="both"/>
        <w:rPr/>
      </w:pPr>
      <w:r>
        <w:rPr>
          <w:rFonts w:ascii="Times New Roman" w:cs="Times New Roman" w:eastAsia="Times New Roman" w:hAnsi="Times New Roman"/>
          <w:sz w:val="20"/>
          <w:szCs w:val="20"/>
          <w:rtl w:val="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r>
        <w:rPr>
          <w:rtl w:val="0"/>
        </w:rPr>
      </w:r>
    </w:p>
    <w:p w:rsidR="00000000" w:rsidDel="00000000" w:rsidP="00000000" w:rsidRDefault="00000000" w:rsidRPr="00000000" w14:paraId="00000020">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Hypothesis 2 (H2). Technological capability (TCI) is positively associated with labour productivity in Singapore. Whether TCI also moderates the curvature of the internationalization–performance relationship is treated as an open empirical question; the present design tests for, but does not presume, a moderation channel.</w:t>
      </w:r>
      <w:r>
        <w:rPr>
          <w:rFonts w:ascii="Times New Roman" w:cs="Times New Roman" w:eastAsia="Times New Roman" w:hAnsi="Times New Roman"/>
          <w:i w:val="1"/>
          <w:iCs w:val="1"/>
          <w:sz w:val="20"/>
          <w:szCs w:val="20"/>
          <w:rtl w:val="0"/>
        </w:rPr>
      </w:r>
      <w:r>
        <w:rPr>
          <w:rtl w:val="0"/>
        </w:rPr>
      </w:r>
    </w:p>
    <w:p w:rsidR="00000000" w:rsidDel="00000000" w:rsidP="00000000" w:rsidRDefault="00000000" w:rsidRPr="00000000" w14:paraId="00000021">
      <w:pPr>
        <w:spacing w:after="120" w:before="240" w:lineRule="auto"/>
        <w:jc w:val="left"/>
        <w:rPr/>
      </w:pPr>
      <w:r>
        <w:rPr>
          <w:rFonts w:ascii="Times New Roman" w:cs="Times New Roman" w:eastAsia="Times New Roman" w:hAnsi="Times New Roman"/>
          <w:b w:val="1"/>
          <w:bCs w:val="1"/>
          <w:i w:val="1"/>
          <w:iCs w:val="1"/>
          <w:sz w:val="20"/>
          <w:szCs w:val="20"/>
          <w:rtl w:val="0"/>
        </w:rPr>
        <w:t xml:space="preserve">2.3.3 DAI direct effect on productivity</w:t>
      </w:r>
      <w:r>
        <w:rPr>
          <w:rtl w:val="0"/>
        </w:rPr>
      </w:r>
    </w:p>
    <w:p w:rsidR="00000000" w:rsidDel="00000000" w:rsidP="00000000" w:rsidRDefault="00000000" w:rsidRPr="00000000" w14:paraId="00000022">
      <w:pPr>
        <w:spacing w:after="0" w:line="480" w:lineRule="auto"/>
        <w:ind w:firstLine="720"/>
        <w:jc w:val="both"/>
        <w:rPr/>
      </w:pPr>
      <w:r>
        <w:rPr>
          <w:rFonts w:ascii="Times New Roman" w:cs="Times New Roman" w:eastAsia="Times New Roman" w:hAnsi="Times New Roman"/>
          <w:sz w:val="20"/>
          <w:szCs w:val="20"/>
          <w:rtl w:val="0"/>
        </w:rPr>
        <w:t>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In a digitally mature economy,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r>
        <w:rPr>
          <w:rtl w:val="0"/>
        </w:rPr>
      </w:r>
    </w:p>
    <w:p w:rsidR="00000000" w:rsidDel="00000000" w:rsidP="00000000" w:rsidRDefault="00000000" w:rsidRPr="00000000" w14:paraId="00000023">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Hypothesis 3 (H3). The productivity association of digital adoption (DAI) in Singapore is conditional on export intensity rather than uniform across firms. Specifically, foundational digital adoption is expected to complement the productivity returns to higher levels of export intensity; the moderation pattern is formally tested in H4.</w:t>
      </w:r>
      <w:r>
        <w:rPr>
          <w:rFonts w:ascii="Times New Roman" w:cs="Times New Roman" w:eastAsia="Times New Roman" w:hAnsi="Times New Roman"/>
          <w:i w:val="1"/>
          <w:iCs w:val="1"/>
          <w:sz w:val="20"/>
          <w:szCs w:val="20"/>
          <w:rtl w:val="0"/>
        </w:rPr>
      </w:r>
      <w:r>
        <w:rPr>
          <w:rtl w:val="0"/>
        </w:rPr>
      </w:r>
    </w:p>
    <w:p w:rsidR="00000000" w:rsidDel="00000000" w:rsidP="00000000" w:rsidRDefault="00000000" w:rsidRPr="00000000" w14:paraId="00000024">
      <w:pPr>
        <w:spacing w:after="120" w:before="240" w:lineRule="auto"/>
        <w:jc w:val="left"/>
        <w:rPr/>
      </w:pPr>
      <w:r>
        <w:rPr>
          <w:rFonts w:ascii="Times New Roman" w:cs="Times New Roman" w:eastAsia="Times New Roman" w:hAnsi="Times New Roman"/>
          <w:b w:val="1"/>
          <w:bCs w:val="1"/>
          <w:i w:val="1"/>
          <w:iCs w:val="1"/>
          <w:sz w:val="20"/>
          <w:szCs w:val="20"/>
          <w:rtl w:val="0"/>
        </w:rPr>
        <w:t xml:space="preserve">2.3.4 DAI as a conditional complement to export intensity</w:t>
      </w:r>
      <w:r>
        <w:rPr>
          <w:rtl w:val="0"/>
        </w:rPr>
      </w:r>
    </w:p>
    <w:p w:rsidR="00000000" w:rsidDel="00000000" w:rsidP="00000000" w:rsidRDefault="00000000" w:rsidRPr="00000000" w14:paraId="00000025">
      <w:pPr>
        <w:spacing w:after="0" w:line="480" w:lineRule="auto"/>
        <w:ind w:firstLine="720"/>
        <w:jc w:val="both"/>
        <w:rPr/>
      </w:pPr>
      <w:r>
        <w:rPr>
          <w:rFonts w:ascii="Times New Roman" w:cs="Times New Roman" w:eastAsia="Times New Roman" w:hAnsi="Times New Roman"/>
          <w:sz w:val="20"/>
          <w:szCs w:val="20"/>
          <w:rtl w:val="0"/>
        </w:rPr>
        <w:t>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r>
        <w:rPr>
          <w:rtl w:val="0"/>
        </w:rPr>
      </w:r>
    </w:p>
    <w:p w:rsidR="00000000" w:rsidDel="00000000" w:rsidP="00000000" w:rsidRDefault="00000000" w:rsidRPr="00000000" w14:paraId="00000026">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4 (H4). </w:t>
      </w:r>
      <w:r>
        <w:rPr>
          <w:rFonts w:ascii="Times New Roman" w:cs="Times New Roman" w:eastAsia="Times New Roman" w:hAnsi="Times New Roman"/>
          <w:i w:val="1"/>
          <w:iCs w:val="1"/>
          <w:sz w:val="20"/>
          <w:szCs w:val="20"/>
          <w:rtl w:val="0"/>
        </w:rPr>
        <w:t xml:space="preserve">The association between digital adoption (DAI) and firm performance becomes more positive at higher levels of export intensity in Singapore.</w:t>
      </w:r>
      <w:r>
        <w:rPr>
          <w:rtl w:val="0"/>
        </w:rPr>
      </w:r>
    </w:p>
    <w:p w:rsidR="00000000" w:rsidDel="00000000" w:rsidP="00000000" w:rsidRDefault="00000000" w:rsidRPr="00000000" w14:paraId="00000027">
      <w:pPr>
        <w:spacing w:after="160" w:before="280" w:lineRule="auto"/>
        <w:jc w:val="left"/>
        <w:rPr/>
      </w:pPr>
      <w:r>
        <w:rPr>
          <w:rFonts w:ascii="Times New Roman" w:cs="Times New Roman" w:eastAsia="Times New Roman" w:hAnsi="Times New Roman"/>
          <w:b w:val="1"/>
          <w:bCs w:val="1"/>
          <w:sz w:val="22"/>
          <w:szCs w:val="22"/>
          <w:rtl w:val="0"/>
        </w:rPr>
        <w:t xml:space="preserve">2.4 Conceptual model</w:t>
      </w:r>
      <w:r>
        <w:rPr>
          <w:rtl w:val="0"/>
        </w:rPr>
      </w:r>
    </w:p>
    <w:p w:rsidR="00000000" w:rsidDel="00000000" w:rsidP="00000000" w:rsidRDefault="00000000" w:rsidRPr="00000000" w14:paraId="00000028">
      <w:pPr>
        <w:spacing w:after="0" w:line="480" w:lineRule="auto"/>
        <w:ind w:firstLine="720"/>
        <w:jc w:val="both"/>
        <w:rPr/>
      </w:pPr>
      <w:r>
        <w:rPr>
          <w:rFonts w:ascii="Times New Roman" w:cs="Times New Roman" w:eastAsia="Times New Roman" w:hAnsi="Times New Roman"/>
          <w:sz w:val="20"/>
          <w:szCs w:val="20"/>
          <w:rtl w:val="0"/>
        </w:rPr>
        <w:t>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extreme-case, within-context setting of a digitally mature economy.</w:t>
      </w:r>
      <w:r>
        <w:rPr>
          <w:rtl w:val="0"/>
        </w:rPr>
      </w:r>
    </w:p>
    <w:p w:rsidR="00000000" w:rsidDel="00000000" w:rsidP="00000000" w:rsidRDefault="00000000" w:rsidRPr="00000000" w14:paraId="00000029">
      <w:pPr>
        <w:spacing w:after="120" w:before="240" w:lineRule="auto"/>
        <w:jc w:val="center"/>
        <w:rPr/>
      </w:pPr>
      <w:r>
        <w:rPr/>
        <w:drawing>
          <wp:inline distB="0" distT="0" distL="0" distR="0">
            <wp:extent cx="51435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3429000"/>
                    </a:xfrm>
                    <a:prstGeom prst="rect"/>
                    <a:ln/>
                  </pic:spPr>
                </pic:pic>
              </a:graphicData>
            </a:graphic>
          </wp:inline>
        </w:drawing>
      </w:r>
      <w:r>
        <w:rPr>
          <w:rtl w:val="0"/>
        </w:rPr>
      </w:r>
    </w:p>
    <w:p w:rsidR="00000000" w:rsidDel="00000000" w:rsidP="00000000" w:rsidRDefault="00000000" w:rsidRPr="00000000" w14:paraId="0000002A">
      <w:pPr>
        <w:spacing w:after="240" w:line="280" w:lineRule="auto"/>
        <w:jc w:val="center"/>
        <w:rPr/>
      </w:pPr>
      <w:r>
        <w:rPr>
          <w:rFonts w:ascii="Cardo" w:cs="Cardo" w:eastAsia="Cardo" w:hAnsi="Cardo"/>
          <w:i w:val="1"/>
          <w:iCs w:val="1"/>
          <w:sz w:val="18"/>
          <w:szCs w:val="18"/>
          <w:rtl w:val="0"/>
        </w:rPr>
        <w:t>Figure 1. Conceptual model. Technological capability, digital adoption, and the internationalization–performance relationship in Singapore as an extreme-case, within-context setting of a digitally mature economy. Solid arrows denote direct associations (H1, H3); dashed arrows denote moderation associations (H2, H4). The moderation arrows should be read as acting on the internationalization–performance path rather than as direct antecedents of FSTS.</w:t>
      </w:r>
      <w:r>
        <w:rPr>
          <w:rtl w:val="0"/>
        </w:rPr>
      </w:r>
    </w:p>
    <w:p w:rsidR="00000000" w:rsidDel="00000000" w:rsidP="00000000" w:rsidRDefault="00000000" w:rsidRPr="00000000" w14:paraId="0000002B">
      <w:pPr>
        <w:spacing w:after="240" w:before="360" w:lineRule="auto"/>
        <w:jc w:val="left"/>
        <w:rPr/>
      </w:pPr>
      <w:r>
        <w:rPr>
          <w:rFonts w:ascii="Times New Roman" w:cs="Times New Roman" w:eastAsia="Times New Roman" w:hAnsi="Times New Roman"/>
          <w:b w:val="1"/>
          <w:bCs w:val="1"/>
          <w:sz w:val="24"/>
          <w:szCs w:val="24"/>
          <w:rtl w:val="0"/>
        </w:rPr>
        <w:t xml:space="preserve">3 Methods</w:t>
      </w:r>
      <w:r>
        <w:rPr>
          <w:rtl w:val="0"/>
        </w:rPr>
      </w:r>
    </w:p>
    <w:p w:rsidR="00000000" w:rsidDel="00000000" w:rsidP="00000000" w:rsidRDefault="00000000" w:rsidRPr="00000000" w14:paraId="0000002C">
      <w:pPr>
        <w:spacing w:after="160" w:before="280" w:lineRule="auto"/>
        <w:jc w:val="left"/>
        <w:rPr/>
      </w:pPr>
      <w:r>
        <w:rPr>
          <w:rFonts w:ascii="Times New Roman" w:cs="Times New Roman" w:eastAsia="Times New Roman" w:hAnsi="Times New Roman"/>
          <w:b w:val="1"/>
          <w:bCs w:val="1"/>
          <w:sz w:val="22"/>
          <w:szCs w:val="22"/>
          <w:rtl w:val="0"/>
        </w:rPr>
        <w:t xml:space="preserve">3.1 Data</w:t>
      </w:r>
      <w:r>
        <w:rPr>
          <w:rtl w:val="0"/>
        </w:rPr>
      </w:r>
    </w:p>
    <w:p w:rsidR="00000000" w:rsidDel="00000000" w:rsidP="00000000" w:rsidRDefault="00000000" w:rsidRPr="00000000" w14:paraId="0000002D">
      <w:pPr>
        <w:spacing w:after="0" w:line="480" w:lineRule="auto"/>
        <w:ind w:firstLine="720"/>
        <w:jc w:val="both"/>
        <w:rPr/>
      </w:pPr>
      <w:r>
        <w:rPr>
          <w:rFonts w:ascii="Times New Roman" w:cs="Times New Roman" w:eastAsia="Times New Roman" w:hAnsi="Times New Roman"/>
          <w:sz w:val="20"/>
          <w:szCs w:val="20"/>
          <w:rtl w:val="0"/>
        </w:rPr>
        <w:t>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Descriptive statistics and pairwise correlations are reported in Table 1.</w:t>
      </w:r>
      <w:r>
        <w:rPr>
          <w:rtl w:val="0"/>
        </w:rPr>
      </w:r>
    </w:p>
    <w:p w:rsidR="00000000" w:rsidDel="00000000" w:rsidP="00000000" w:rsidRDefault="00000000" w:rsidRPr="00000000" w14:paraId="0000002E">
      <w:pPr>
        <w:spacing w:after="160" w:before="280" w:lineRule="auto"/>
        <w:jc w:val="left"/>
        <w:rPr/>
      </w:pPr>
      <w:r>
        <w:rPr>
          <w:rFonts w:ascii="Times New Roman" w:cs="Times New Roman" w:eastAsia="Times New Roman" w:hAnsi="Times New Roman"/>
          <w:b w:val="1"/>
          <w:bCs w:val="1"/>
          <w:sz w:val="22"/>
          <w:szCs w:val="22"/>
          <w:rtl w:val="0"/>
        </w:rPr>
        <w:t xml:space="preserve">3.2 Variables</w:t>
      </w:r>
      <w:r>
        <w:rPr>
          <w:rtl w:val="0"/>
        </w:rPr>
      </w:r>
    </w:p>
    <w:p w:rsidR="00000000" w:rsidDel="00000000" w:rsidP="00000000" w:rsidRDefault="00000000" w:rsidRPr="00000000" w14:paraId="0000002F">
      <w:pPr>
        <w:spacing w:after="120" w:before="240" w:lineRule="auto"/>
        <w:jc w:val="left"/>
        <w:rPr/>
      </w:pPr>
      <w:r>
        <w:rPr>
          <w:rFonts w:ascii="Times New Roman" w:cs="Times New Roman" w:eastAsia="Times New Roman" w:hAnsi="Times New Roman"/>
          <w:b w:val="1"/>
          <w:bCs w:val="1"/>
          <w:i w:val="1"/>
          <w:iCs w:val="1"/>
          <w:sz w:val="20"/>
          <w:szCs w:val="20"/>
          <w:rtl w:val="0"/>
        </w:rPr>
        <w:t xml:space="preserve">3.2.1 Dependent variable</w:t>
      </w:r>
      <w:r>
        <w:rPr>
          <w:rtl w:val="0"/>
        </w:rPr>
      </w:r>
    </w:p>
    <w:p w:rsidR="00000000" w:rsidDel="00000000" w:rsidP="00000000" w:rsidRDefault="00000000" w:rsidRPr="00000000" w14:paraId="00000030">
      <w:pPr>
        <w:spacing w:after="0" w:line="480" w:lineRule="auto"/>
        <w:ind w:firstLine="720"/>
        <w:jc w:val="both"/>
        <w:rPr/>
      </w:pPr>
      <w:r>
        <w:rPr>
          <w:rFonts w:ascii="Times New Roman" w:cs="Times New Roman" w:eastAsia="Times New Roman" w:hAnsi="Times New Roman"/>
          <w:sz w:val="20"/>
          <w:szCs w:val="20"/>
          <w:rtl w:val="0"/>
        </w:rPr>
        <w:t>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r>
        <w:rPr>
          <w:rtl w:val="0"/>
        </w:rPr>
      </w:r>
    </w:p>
    <w:p w:rsidR="00000000" w:rsidDel="00000000" w:rsidP="00000000" w:rsidRDefault="00000000" w:rsidRPr="00000000" w14:paraId="00000031">
      <w:pPr>
        <w:spacing w:after="120" w:before="240" w:lineRule="auto"/>
        <w:jc w:val="left"/>
        <w:rPr/>
      </w:pPr>
      <w:r>
        <w:rPr>
          <w:rFonts w:ascii="Times New Roman" w:cs="Times New Roman" w:eastAsia="Times New Roman" w:hAnsi="Times New Roman"/>
          <w:b w:val="1"/>
          <w:bCs w:val="1"/>
          <w:i w:val="1"/>
          <w:iCs w:val="1"/>
          <w:sz w:val="20"/>
          <w:szCs w:val="20"/>
          <w:rtl w:val="0"/>
        </w:rPr>
        <w:t xml:space="preserve">3.2.2 Focal independent variable</w:t>
      </w:r>
      <w:r>
        <w:rPr>
          <w:rtl w:val="0"/>
        </w:rPr>
      </w:r>
    </w:p>
    <w:p w:rsidR="00000000" w:rsidDel="00000000" w:rsidP="00000000" w:rsidRDefault="00000000" w:rsidRPr="00000000" w14:paraId="00000032">
      <w:pPr>
        <w:spacing w:after="0" w:line="480" w:lineRule="auto"/>
        <w:ind w:firstLine="720"/>
        <w:jc w:val="both"/>
        <w:rPr/>
      </w:pPr>
      <w:r>
        <w:rPr>
          <w:rFonts w:ascii="Times New Roman" w:cs="Times New Roman" w:eastAsia="Times New Roman" w:hAnsi="Times New Roman"/>
          <w:sz w:val="20"/>
          <w:szCs w:val="20"/>
          <w:rtl w:val="0"/>
        </w:rPr>
        <w:t>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rPr>
          <w:rtl w:val="0"/>
        </w:rPr>
      </w:r>
    </w:p>
    <w:p w:rsidR="00000000" w:rsidDel="00000000" w:rsidP="00000000" w:rsidRDefault="00000000" w:rsidRPr="00000000" w14:paraId="00000033">
      <w:pPr>
        <w:spacing w:after="120" w:before="240" w:lineRule="auto"/>
        <w:jc w:val="left"/>
        <w:rPr/>
      </w:pPr>
      <w:r>
        <w:rPr>
          <w:rFonts w:ascii="Times New Roman" w:cs="Times New Roman" w:eastAsia="Times New Roman" w:hAnsi="Times New Roman"/>
          <w:b w:val="1"/>
          <w:bCs w:val="1"/>
          <w:i w:val="1"/>
          <w:iCs w:val="1"/>
          <w:sz w:val="20"/>
          <w:szCs w:val="20"/>
          <w:rtl w:val="0"/>
        </w:rPr>
        <w:t xml:space="preserve">3.2.3 TCI and DAI composites</w:t>
      </w:r>
      <w:r>
        <w:rPr>
          <w:rtl w:val="0"/>
        </w:rPr>
      </w:r>
    </w:p>
    <w:p w:rsidR="00000000" w:rsidDel="00000000" w:rsidP="00000000" w:rsidRDefault="00000000" w:rsidRPr="00000000" w14:paraId="00000034">
      <w:pPr>
        <w:spacing w:after="0" w:line="480" w:lineRule="auto"/>
        <w:ind w:firstLine="720"/>
        <w:jc w:val="both"/>
        <w:rPr/>
      </w:pPr>
      <w:r>
        <w:rPr>
          <w:rFonts w:ascii="Times New Roman" w:cs="Times New Roman" w:eastAsia="Times New Roman" w:hAnsi="Times New Roman"/>
          <w:sz w:val="20"/>
          <w:szCs w:val="20"/>
          <w:rtl w:val="0"/>
        </w:rPr>
        <w:t>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r>
        <w:rPr>
          <w:rtl w:val="0"/>
        </w:rPr>
      </w:r>
      <w:r>
        <w:rPr>
          <w:rFonts w:ascii="Times New Roman" w:hAnsi="Times New Roman"/>
          <w:sz w:val="22"/>
        </w:rPr>
      </w:r>
    </w:p>
    <w:p w:rsidR="00000000" w:rsidDel="00000000" w:rsidP="00000000" w:rsidRDefault="00000000" w:rsidRPr="00000000" w14:paraId="00000036">
      <w:pPr>
        <w:spacing w:after="120" w:before="240" w:lineRule="auto"/>
        <w:jc w:val="left"/>
        <w:rPr/>
      </w:pPr>
      <w:r>
        <w:rPr>
          <w:rFonts w:ascii="Times New Roman" w:cs="Times New Roman" w:eastAsia="Times New Roman" w:hAnsi="Times New Roman"/>
          <w:b w:val="1"/>
          <w:bCs w:val="1"/>
          <w:i w:val="1"/>
          <w:iCs w:val="1"/>
          <w:sz w:val="20"/>
          <w:szCs w:val="20"/>
          <w:rtl w:val="0"/>
        </w:rPr>
        <w:t xml:space="preserve">3.2.4 Controls</w:t>
      </w:r>
      <w:r>
        <w:rPr>
          <w:rtl w:val="0"/>
        </w:rPr>
      </w:r>
    </w:p>
    <w:p w:rsidR="00000000" w:rsidDel="00000000" w:rsidP="00000000" w:rsidRDefault="00000000" w:rsidRPr="00000000" w14:paraId="00000037">
      <w:pPr>
        <w:spacing w:after="0" w:line="480" w:lineRule="auto"/>
        <w:ind w:firstLine="720"/>
        <w:jc w:val="both"/>
        <w:rPr/>
      </w:pPr>
      <w:r>
        <w:rPr>
          <w:rFonts w:ascii="Gungsuh" w:cs="Gungsuh" w:eastAsia="Gungsuh" w:hAnsi="Gungsuh"/>
          <w:sz w:val="20"/>
          <w:szCs w:val="20"/>
          <w:rtl w:val="0"/>
        </w:rPr>
        <w:t>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rPr>
          <w:rtl w:val="0"/>
        </w:rPr>
      </w:r>
    </w:p>
    <w:p w:rsidR="00000000" w:rsidDel="00000000" w:rsidP="00000000" w:rsidRDefault="00000000" w:rsidRPr="00000000" w14:paraId="00000038">
      <w:pPr>
        <w:spacing w:after="160" w:before="280" w:lineRule="auto"/>
        <w:jc w:val="left"/>
        <w:rPr/>
      </w:pPr>
      <w:r>
        <w:rPr>
          <w:rFonts w:ascii="Times New Roman" w:cs="Times New Roman" w:eastAsia="Times New Roman" w:hAnsi="Times New Roman"/>
          <w:b w:val="1"/>
          <w:bCs w:val="1"/>
          <w:sz w:val="22"/>
          <w:szCs w:val="22"/>
          <w:rtl w:val="0"/>
        </w:rPr>
        <w:t xml:space="preserve">3.3 Estimation strategy and identification scope</w:t>
      </w:r>
      <w:r>
        <w:rPr>
          <w:rtl w:val="0"/>
        </w:rPr>
      </w:r>
    </w:p>
    <w:p w:rsidR="00000000" w:rsidDel="00000000" w:rsidP="00000000" w:rsidRDefault="00000000" w:rsidRPr="00000000" w14:paraId="00000039">
      <w:pPr>
        <w:spacing w:after="0" w:line="480" w:lineRule="auto"/>
        <w:ind w:firstLine="720"/>
        <w:jc w:val="both"/>
        <w:rPr/>
      </w:pPr>
      <w:r>
        <w:rPr>
          <w:rFonts w:ascii="Times New Roman" w:cs="Times New Roman" w:eastAsia="Times New Roman" w:hAnsi="Times New Roman"/>
          <w:sz w:val="20"/>
          <w:szCs w:val="20"/>
          <w:rtl w:val="0"/>
        </w:rPr>
        <w:t>The empirical analysis uses ordinary least squares with broad sector fixed effects and HC1 heteroskedasticity-robust standard errors throughout (MacKinnon &amp; White 1985). Models are estimated sequentially, beginning with a controls-only specification and then moving to a linear internationalization model, a quadratic baseline, direct-effect models for TCI and DAI, and full specifications that incorporate moderation terms. The baseline quadratic specification evaluates whether the internationalization–performance relationship follows the conventional inverted-U logic, while the later specifications test whether TCI and DAI play distinct direct and contingent roles.</w:t>
      </w:r>
      <w:r>
        <w:rPr>
          <w:rtl w:val="0"/>
        </w:rPr>
      </w:r>
    </w:p>
    <w:p w:rsidR="00000000" w:rsidDel="00000000" w:rsidP="00000000" w:rsidRDefault="00000000" w:rsidRPr="00000000" w14:paraId="0000003A">
      <w:pPr>
        <w:spacing w:after="120" w:line="480" w:lineRule="auto"/>
        <w:jc w:val="left"/>
        <w:rPr/>
      </w:pPr>
      <w:r>
        <w:rPr>
          <w:rFonts w:ascii="Times New Roman" w:cs="Times New Roman" w:eastAsia="Times New Roman" w:hAnsi="Times New Roman"/>
          <w:i w:val="1"/>
          <w:iCs w:val="1"/>
          <w:sz w:val="20"/>
          <w:szCs w:val="20"/>
          <w:rtl w:val="0"/>
        </w:rPr>
        <w:t xml:space="preserve">ln(LP) = α + β₁·FSTS_c + β₂·FSTS_c² + β₃·TCI + β₄·DAI + β₅·(FSTS_c × DAI) + β₆·(FSTS_c² × DAI) + γ·controls + ε,</w:t>
      </w:r>
      <w:r>
        <w:rPr>
          <w:rtl w:val="0"/>
        </w:rPr>
      </w:r>
    </w:p>
    <w:p w:rsidR="00000000" w:rsidDel="00000000" w:rsidP="00000000" w:rsidRDefault="00000000" w:rsidRPr="00000000" w14:paraId="0000003B">
      <w:pPr>
        <w:spacing w:after="0" w:line="480" w:lineRule="auto"/>
        <w:ind w:firstLine="720"/>
        <w:jc w:val="both"/>
        <w:rPr/>
      </w:pPr>
      <w:r>
        <w:rPr>
          <w:rFonts w:ascii="Times New Roman" w:cs="Times New Roman" w:eastAsia="Times New Roman" w:hAnsi="Times New Roman"/>
          <w:sz w:val="20"/>
          <w:szCs w:val="20"/>
          <w:rtl w:val="0"/>
        </w:rPr>
        <w:t>The full model includes centered FSTS, squared centered FSTS, TCI, DAI, the interaction between FSTS and DAI, and the interaction between squared FSTS and DAI, in addition to the control set. A supplementary specification replaces the DAI interaction block with analogous TCI interaction terms in order to assess whether technological capability operates primarily as a moderator or as an intercept-shifting capability variable.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r>
        <w:rPr>
          <w:rtl w:val="0"/>
        </w:rPr>
      </w:r>
    </w:p>
    <w:p w:rsidR="00000000" w:rsidDel="00000000" w:rsidP="00000000" w:rsidRDefault="00000000" w:rsidRPr="00000000" w14:paraId="0000003C">
      <w:pPr>
        <w:spacing w:after="0" w:line="480" w:lineRule="auto"/>
        <w:ind w:firstLine="720"/>
        <w:jc w:val="both"/>
        <w:rPr/>
      </w:pPr>
      <w:r>
        <w:rPr>
          <w:rFonts w:ascii="Times New Roman" w:cs="Times New Roman" w:eastAsia="Times New Roman" w:hAnsi="Times New Roman"/>
          <w:sz w:val="20"/>
          <w:szCs w:val="20"/>
          <w:rtl w:val="0"/>
        </w:rPr>
        <w:t>The identification scope of the study is explicitly associational rather than causal, in line with the disciplined causal-language conventions advocated for international business and strategy research (Antonakis et al. 2010; Meyer et al. 2017; Shaver 2020). Because the design is cross-sectional, the analysis cannot rule out reverse causation or omitted-variable bias in the observed relationships among productivity, export intensity, technological capability, and digital adoption. For that reason, the manuscript should consistently use language such as “is associated with,” “is consistent with,” and “supports” rather than causal wording.</w:t>
      </w:r>
      <w:r>
        <w:rPr>
          <w:rtl w:val="0"/>
        </w:rPr>
      </w:r>
    </w:p>
    <w:p w:rsidR="00000000" w:rsidDel="00000000" w:rsidP="00000000" w:rsidRDefault="00000000" w:rsidRPr="00000000" w14:paraId="0000003D">
      <w:pPr>
        <w:spacing w:after="240" w:before="360" w:lineRule="auto"/>
        <w:jc w:val="left"/>
        <w:rPr/>
      </w:pPr>
      <w:r>
        <w:rPr>
          <w:rFonts w:ascii="Times New Roman" w:cs="Times New Roman" w:eastAsia="Times New Roman" w:hAnsi="Times New Roman"/>
          <w:b w:val="1"/>
          <w:bCs w:val="1"/>
          <w:sz w:val="24"/>
          <w:szCs w:val="24"/>
          <w:rtl w:val="0"/>
        </w:rPr>
        <w:t xml:space="preserve">4 Results</w:t>
      </w:r>
      <w:r>
        <w:rPr>
          <w:rtl w:val="0"/>
        </w:rPr>
      </w:r>
    </w:p>
    <w:p w:rsidR="00000000" w:rsidDel="00000000" w:rsidP="00000000" w:rsidRDefault="00000000" w:rsidRPr="00000000" w14:paraId="0000003E">
      <w:pPr>
        <w:spacing w:after="160" w:before="280" w:lineRule="auto"/>
        <w:jc w:val="left"/>
        <w:rPr/>
      </w:pPr>
      <w:r>
        <w:rPr>
          <w:rFonts w:ascii="Times New Roman" w:cs="Times New Roman" w:eastAsia="Times New Roman" w:hAnsi="Times New Roman"/>
          <w:b w:val="1"/>
          <w:bCs w:val="1"/>
          <w:sz w:val="22"/>
          <w:szCs w:val="22"/>
          <w:rtl w:val="0"/>
        </w:rPr>
        <w:t xml:space="preserve">4.1 Descriptive statistics</w:t>
      </w:r>
      <w:r>
        <w:rPr>
          <w:rtl w:val="0"/>
        </w:rPr>
      </w:r>
    </w:p>
    <w:p w:rsidR="00000000" w:rsidDel="00000000" w:rsidP="00000000" w:rsidRDefault="00000000" w:rsidRPr="00000000" w14:paraId="0000003F">
      <w:pPr>
        <w:spacing w:after="0" w:line="480" w:lineRule="auto"/>
        <w:ind w:firstLine="720"/>
        <w:jc w:val="both"/>
        <w:rPr/>
      </w:pPr>
      <w:r>
        <w:rPr>
          <w:rFonts w:ascii="Times New Roman" w:cs="Times New Roman" w:eastAsia="Times New Roman" w:hAnsi="Times New Roman"/>
          <w:sz w:val="20"/>
          <w:szCs w:val="20"/>
          <w:rtl w:val="0"/>
        </w:rPr>
        <w:t>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rPr>
          <w:rtl w:val="0"/>
        </w:rPr>
      </w:r>
    </w:p>
    <w:p w:rsidR="00000000" w:rsidDel="00000000" w:rsidP="00000000" w:rsidRDefault="00000000" w:rsidRPr="00000000" w14:paraId="00000040">
      <w:pPr>
        <w:spacing w:after="120" w:line="480" w:lineRule="auto"/>
        <w:jc w:val="left"/>
        <w:rPr/>
      </w:pPr>
      <w:r>
        <w:rPr>
          <w:rFonts w:ascii="Times New Roman" w:cs="Times New Roman" w:eastAsia="Times New Roman" w:hAnsi="Times New Roman"/>
          <w:b w:val="1"/>
          <w:bCs w:val="1"/>
          <w:sz w:val="20"/>
          <w:szCs w:val="20"/>
          <w:rtl w:val="0"/>
        </w:rPr>
        <w:t xml:space="preserve">Table 1. Descriptive statistics and pairwise correlations.</w:t>
      </w:r>
      <w:r>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850"/>
        <w:gridCol w:w="850"/>
        <w:gridCol w:w="950"/>
        <w:gridCol w:w="950"/>
        <w:gridCol w:w="1000"/>
        <w:tblGridChange w:id="0">
          <w:tblGrid>
            <w:gridCol w:w="2200"/>
            <w:gridCol w:w="1100"/>
            <w:gridCol w:w="1100"/>
            <w:gridCol w:w="850"/>
            <w:gridCol w:w="850"/>
            <w:gridCol w:w="950"/>
            <w:gridCol w:w="950"/>
            <w:gridCol w:w="1000"/>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1">
            <w:pPr>
              <w:spacing w:line="240" w:lineRule="auto"/>
              <w:jc w:val="left"/>
              <w:rPr/>
            </w:pPr>
            <w:r>
              <w:rPr>
                <w:rFonts w:ascii="Times New Roman" w:cs="Times New Roman" w:eastAsia="Times New Roman" w:hAnsi="Times New Roman"/>
                <w:b w:val="1"/>
                <w:bCs w:val="1"/>
                <w:sz w:val="16"/>
                <w:szCs w:val="16"/>
                <w:rtl w:val="0"/>
              </w:rPr>
              <w:t xml:space="preserve">Panel A: Descriptive Statistics (N = 623)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2">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3">
            <w:pPr>
              <w:spacing w:line="240" w:lineRule="auto"/>
              <w:jc w:val="center"/>
              <w:rPr/>
            </w:pPr>
            <w:r>
              <w:rPr>
                <w:rFonts w:ascii="Times New Roman" w:cs="Times New Roman" w:eastAsia="Times New Roman" w:hAnsi="Times New Roman"/>
                <w:b w:val="1"/>
                <w:bCs w:val="1"/>
                <w:sz w:val="16"/>
                <w:szCs w:val="16"/>
                <w:rtl w:val="0"/>
              </w:rPr>
              <w:t xml:space="preserve">Mean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4">
            <w:pPr>
              <w:spacing w:line="240" w:lineRule="auto"/>
              <w:jc w:val="center"/>
              <w:rPr/>
            </w:pPr>
            <w:r>
              <w:rPr>
                <w:rFonts w:ascii="Times New Roman" w:cs="Times New Roman" w:eastAsia="Times New Roman" w:hAnsi="Times New Roman"/>
                <w:b w:val="1"/>
                <w:bCs w:val="1"/>
                <w:sz w:val="16"/>
                <w:szCs w:val="16"/>
                <w:rtl w:val="0"/>
              </w:rPr>
              <w:t xml:space="preserve">SD</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5">
            <w:pPr>
              <w:spacing w:line="240" w:lineRule="auto"/>
              <w:jc w:val="center"/>
              <w:rPr/>
            </w:pPr>
            <w:r>
              <w:rPr>
                <w:rFonts w:ascii="Times New Roman" w:cs="Times New Roman" w:eastAsia="Times New Roman" w:hAnsi="Times New Roman"/>
                <w:b w:val="1"/>
                <w:bCs w:val="1"/>
                <w:sz w:val="16"/>
                <w:szCs w:val="16"/>
                <w:rtl w:val="0"/>
              </w:rPr>
              <w:t xml:space="preserve">Min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6">
            <w:pPr>
              <w:spacing w:line="240" w:lineRule="auto"/>
              <w:jc w:val="center"/>
              <w:rPr/>
            </w:pPr>
            <w:r>
              <w:rPr>
                <w:rFonts w:ascii="Times New Roman" w:cs="Times New Roman" w:eastAsia="Times New Roman" w:hAnsi="Times New Roman"/>
                <w:b w:val="1"/>
                <w:bCs w:val="1"/>
                <w:sz w:val="16"/>
                <w:szCs w:val="16"/>
                <w:rtl w:val="0"/>
              </w:rPr>
              <w:t xml:space="preserve">Max</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7">
            <w:pPr>
              <w:spacing w:line="240" w:lineRule="auto"/>
              <w:jc w:val="center"/>
              <w:rPr/>
            </w:pPr>
            <w:r>
              <w:rPr>
                <w:rFonts w:ascii="Times New Roman" w:cs="Times New Roman" w:eastAsia="Times New Roman" w:hAnsi="Times New Roman"/>
                <w:b w:val="1"/>
                <w:bCs w:val="1"/>
                <w:sz w:val="16"/>
                <w:szCs w:val="16"/>
                <w:rtl w:val="0"/>
              </w:rPr>
              <w:t xml:space="preserve">p25</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8">
            <w:pPr>
              <w:spacing w:line="240" w:lineRule="auto"/>
              <w:jc w:val="center"/>
              <w:rPr/>
            </w:pPr>
            <w:r>
              <w:rPr>
                <w:rFonts w:ascii="Times New Roman" w:cs="Times New Roman" w:eastAsia="Times New Roman" w:hAnsi="Times New Roman"/>
                <w:b w:val="1"/>
                <w:bCs w:val="1"/>
                <w:sz w:val="16"/>
                <w:szCs w:val="16"/>
                <w:rtl w:val="0"/>
              </w:rPr>
              <w:t xml:space="preserve">p50</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9">
            <w:pPr>
              <w:spacing w:line="240" w:lineRule="auto"/>
              <w:jc w:val="center"/>
              <w:rPr/>
            </w:pPr>
            <w:r>
              <w:rPr>
                <w:rFonts w:ascii="Times New Roman" w:cs="Times New Roman" w:eastAsia="Times New Roman" w:hAnsi="Times New Roman"/>
                <w:b w:val="1"/>
                <w:bCs w:val="1"/>
                <w:sz w:val="16"/>
                <w:szCs w:val="16"/>
                <w:rtl w:val="0"/>
              </w:rPr>
              <w:t xml:space="preserve">p75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A">
            <w:pPr>
              <w:spacing w:line="240" w:lineRule="auto"/>
              <w:jc w:val="left"/>
              <w:rPr/>
            </w:pPr>
            <w:r>
              <w:rPr>
                <w:rFonts w:ascii="Times New Roman" w:cs="Times New Roman" w:eastAsia="Times New Roman" w:hAnsi="Times New Roman"/>
                <w:b w:val="0"/>
                <w:bCs w:val="0"/>
                <w:sz w:val="16"/>
                <w:szCs w:val="16"/>
                <w:rtl w:val="0"/>
              </w:rPr>
              <w:t xml:space="preserve">Ln(Labour productivity)</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B">
            <w:pPr>
              <w:spacing w:line="240" w:lineRule="auto"/>
              <w:jc w:val="center"/>
              <w:rPr/>
            </w:pPr>
            <w:r>
              <w:rPr>
                <w:rFonts w:ascii="Times New Roman" w:cs="Times New Roman" w:eastAsia="Times New Roman" w:hAnsi="Times New Roman"/>
                <w:b w:val="0"/>
                <w:bCs w:val="0"/>
                <w:sz w:val="16"/>
                <w:szCs w:val="16"/>
                <w:rtl w:val="0"/>
              </w:rPr>
              <w:t xml:space="preserve">11.42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C">
            <w:pPr>
              <w:spacing w:line="240" w:lineRule="auto"/>
              <w:jc w:val="center"/>
              <w:rPr/>
            </w:pPr>
            <w:r>
              <w:rPr>
                <w:rFonts w:ascii="Times New Roman" w:cs="Times New Roman" w:eastAsia="Times New Roman" w:hAnsi="Times New Roman"/>
                <w:b w:val="0"/>
                <w:bCs w:val="0"/>
                <w:sz w:val="16"/>
                <w:szCs w:val="16"/>
                <w:rtl w:val="0"/>
              </w:rPr>
              <w:t xml:space="preserve">1.18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D">
            <w:pPr>
              <w:spacing w:line="240" w:lineRule="auto"/>
              <w:jc w:val="center"/>
              <w:rPr/>
            </w:pPr>
            <w:r>
              <w:rPr>
                <w:rFonts w:ascii="Times New Roman" w:cs="Times New Roman" w:eastAsia="Times New Roman" w:hAnsi="Times New Roman"/>
                <w:b w:val="0"/>
                <w:bCs w:val="0"/>
                <w:sz w:val="16"/>
                <w:szCs w:val="16"/>
                <w:rtl w:val="0"/>
              </w:rPr>
              <w:t xml:space="preserve">7.89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E">
            <w:pPr>
              <w:spacing w:line="240" w:lineRule="auto"/>
              <w:jc w:val="center"/>
              <w:rPr/>
            </w:pPr>
            <w:r>
              <w:rPr>
                <w:rFonts w:ascii="Times New Roman" w:cs="Times New Roman" w:eastAsia="Times New Roman" w:hAnsi="Times New Roman"/>
                <w:b w:val="0"/>
                <w:bCs w:val="0"/>
                <w:sz w:val="16"/>
                <w:szCs w:val="16"/>
                <w:rtl w:val="0"/>
              </w:rPr>
              <w:t xml:space="preserve">15.21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F">
            <w:pPr>
              <w:spacing w:line="240" w:lineRule="auto"/>
              <w:jc w:val="center"/>
              <w:rPr/>
            </w:pPr>
            <w:r>
              <w:rPr>
                <w:rFonts w:ascii="Times New Roman" w:cs="Times New Roman" w:eastAsia="Times New Roman" w:hAnsi="Times New Roman"/>
                <w:b w:val="0"/>
                <w:bCs w:val="0"/>
                <w:sz w:val="16"/>
                <w:szCs w:val="16"/>
                <w:rtl w:val="0"/>
              </w:rPr>
              <w:t xml:space="preserve">10.62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0">
            <w:pPr>
              <w:spacing w:line="240" w:lineRule="auto"/>
              <w:jc w:val="center"/>
              <w:rPr/>
            </w:pPr>
            <w:r>
              <w:rPr>
                <w:rFonts w:ascii="Times New Roman" w:cs="Times New Roman" w:eastAsia="Times New Roman" w:hAnsi="Times New Roman"/>
                <w:b w:val="0"/>
                <w:bCs w:val="0"/>
                <w:sz w:val="16"/>
                <w:szCs w:val="16"/>
                <w:rtl w:val="0"/>
              </w:rPr>
              <w:t xml:space="preserve">11.40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1">
            <w:pPr>
              <w:spacing w:line="240" w:lineRule="auto"/>
              <w:jc w:val="center"/>
              <w:rPr/>
            </w:pPr>
            <w:r>
              <w:rPr>
                <w:rFonts w:ascii="Times New Roman" w:cs="Times New Roman" w:eastAsia="Times New Roman" w:hAnsi="Times New Roman"/>
                <w:b w:val="0"/>
                <w:bCs w:val="0"/>
                <w:sz w:val="16"/>
                <w:szCs w:val="16"/>
                <w:rtl w:val="0"/>
              </w:rPr>
              <w:t xml:space="preserve">12.21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2">
            <w:pPr>
              <w:spacing w:line="240" w:lineRule="auto"/>
              <w:jc w:val="left"/>
              <w:rPr/>
            </w:pPr>
            <w:r>
              <w:rPr>
                <w:rFonts w:ascii="Times New Roman" w:cs="Times New Roman" w:eastAsia="Times New Roman" w:hAnsi="Times New Roman"/>
                <w:b w:val="0"/>
                <w:bCs w:val="0"/>
                <w:sz w:val="16"/>
                <w:szCs w:val="16"/>
                <w:rtl w:val="0"/>
              </w:rPr>
              <w:t xml:space="preserve">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3">
            <w:pPr>
              <w:spacing w:line="240" w:lineRule="auto"/>
              <w:jc w:val="center"/>
              <w:rPr/>
            </w:pPr>
            <w:r>
              <w:rPr>
                <w:rFonts w:ascii="Times New Roman" w:cs="Times New Roman" w:eastAsia="Times New Roman" w:hAnsi="Times New Roman"/>
                <w:b w:val="0"/>
                <w:bCs w:val="0"/>
                <w:sz w:val="16"/>
                <w:szCs w:val="16"/>
                <w:rtl w:val="0"/>
              </w:rPr>
              <w:t xml:space="preserve">0.045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4">
            <w:pPr>
              <w:spacing w:line="240" w:lineRule="auto"/>
              <w:jc w:val="center"/>
              <w:rPr/>
            </w:pPr>
            <w:r>
              <w:rPr>
                <w:rFonts w:ascii="Times New Roman" w:cs="Times New Roman" w:eastAsia="Times New Roman" w:hAnsi="Times New Roman"/>
                <w:b w:val="0"/>
                <w:bCs w:val="0"/>
                <w:sz w:val="16"/>
                <w:szCs w:val="16"/>
                <w:rtl w:val="0"/>
              </w:rPr>
              <w:t xml:space="preserve">0.144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5">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6">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7">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8">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9">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A">
            <w:pPr>
              <w:spacing w:line="240" w:lineRule="auto"/>
              <w:jc w:val="left"/>
              <w:rPr/>
            </w:pPr>
            <w:r>
              <w:rPr>
                <w:rFonts w:ascii="Times New Roman" w:cs="Times New Roman" w:eastAsia="Times New Roman" w:hAnsi="Times New Roman"/>
                <w:b w:val="0"/>
                <w:bCs w:val="0"/>
                <w:sz w:val="16"/>
                <w:szCs w:val="16"/>
                <w:rtl w:val="0"/>
              </w:rPr>
              <w:t xml:space="preserve">FSTS²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B">
            <w:pPr>
              <w:spacing w:line="240" w:lineRule="auto"/>
              <w:jc w:val="center"/>
              <w:rPr/>
            </w:pPr>
            <w:r>
              <w:rPr>
                <w:rFonts w:ascii="Times New Roman" w:cs="Times New Roman" w:eastAsia="Times New Roman" w:hAnsi="Times New Roman"/>
                <w:b w:val="0"/>
                <w:bCs w:val="0"/>
                <w:sz w:val="16"/>
                <w:szCs w:val="16"/>
                <w:rtl w:val="0"/>
              </w:rPr>
              <w:t xml:space="preserve">0.022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C">
            <w:pPr>
              <w:spacing w:line="240" w:lineRule="auto"/>
              <w:jc w:val="center"/>
              <w:rPr/>
            </w:pPr>
            <w:r>
              <w:rPr>
                <w:rFonts w:ascii="Times New Roman" w:cs="Times New Roman" w:eastAsia="Times New Roman" w:hAnsi="Times New Roman"/>
                <w:b w:val="0"/>
                <w:bCs w:val="0"/>
                <w:sz w:val="16"/>
                <w:szCs w:val="16"/>
                <w:rtl w:val="0"/>
              </w:rPr>
              <w:t xml:space="preserve">0.085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D">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E">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F">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0">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1">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2">
            <w:pPr>
              <w:spacing w:line="240" w:lineRule="auto"/>
              <w:jc w:val="left"/>
              <w:rPr/>
            </w:pPr>
            <w:r>
              <w:rPr>
                <w:rFonts w:ascii="Times New Roman" w:cs="Times New Roman" w:eastAsia="Times New Roman" w:hAnsi="Times New Roman"/>
                <w:b w:val="0"/>
                <w:bCs w:val="0"/>
                <w:sz w:val="16"/>
                <w:szCs w:val="16"/>
                <w:rtl w:val="0"/>
              </w:rPr>
              <w:t xml:space="preserve">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3">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4">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5">
            <w:pPr>
              <w:spacing w:line="240" w:lineRule="auto"/>
              <w:jc w:val="center"/>
              <w:rPr/>
            </w:pPr>
            <w:r>
              <w:rPr>
                <w:rFonts w:ascii="Times New Roman" w:cs="Times New Roman" w:eastAsia="Times New Roman" w:hAnsi="Times New Roman"/>
                <w:b w:val="0"/>
                <w:bCs w:val="0"/>
                <w:sz w:val="16"/>
                <w:szCs w:val="16"/>
                <w:rtl w:val="0"/>
              </w:rPr>
              <w:t xml:space="preserve">-0.85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6">
            <w:pPr>
              <w:spacing w:line="240" w:lineRule="auto"/>
              <w:jc w:val="center"/>
              <w:rPr/>
            </w:pPr>
            <w:r>
              <w:rPr>
                <w:rFonts w:ascii="Times New Roman" w:cs="Times New Roman" w:eastAsia="Times New Roman" w:hAnsi="Times New Roman"/>
                <w:b w:val="0"/>
                <w:bCs w:val="0"/>
                <w:sz w:val="16"/>
                <w:szCs w:val="16"/>
                <w:rtl w:val="0"/>
              </w:rPr>
              <w:t xml:space="preserve">3.21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7">
            <w:pPr>
              <w:spacing w:line="240" w:lineRule="auto"/>
              <w:jc w:val="center"/>
              <w:rPr/>
            </w:pPr>
            <w:r>
              <w:rPr>
                <w:rFonts w:ascii="Times New Roman" w:cs="Times New Roman" w:eastAsia="Times New Roman" w:hAnsi="Times New Roman"/>
                <w:b w:val="0"/>
                <w:bCs w:val="0"/>
                <w:sz w:val="16"/>
                <w:szCs w:val="16"/>
                <w:rtl w:val="0"/>
              </w:rPr>
              <w:t xml:space="preserve">-0.85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8">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9">
            <w:pPr>
              <w:spacing w:line="240" w:lineRule="auto"/>
              <w:jc w:val="center"/>
              <w:rPr/>
            </w:pPr>
            <w:r>
              <w:rPr>
                <w:rFonts w:ascii="Times New Roman" w:cs="Times New Roman" w:eastAsia="Times New Roman" w:hAnsi="Times New Roman"/>
                <w:b w:val="0"/>
                <w:bCs w:val="0"/>
                <w:sz w:val="16"/>
                <w:szCs w:val="16"/>
                <w:rtl w:val="0"/>
              </w:rPr>
              <w:t xml:space="preserve">0.51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A">
            <w:pPr>
              <w:spacing w:line="240" w:lineRule="auto"/>
              <w:jc w:val="left"/>
              <w:rPr/>
            </w:pPr>
            <w:r>
              <w:rPr>
                <w:rFonts w:ascii="Times New Roman" w:cs="Times New Roman" w:eastAsia="Times New Roman" w:hAnsi="Times New Roman"/>
                <w:b w:val="0"/>
                <w:bCs w:val="0"/>
                <w:sz w:val="16"/>
                <w:szCs w:val="16"/>
                <w:rtl w:val="0"/>
              </w:rPr>
              <w:t xml:space="preserve">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B">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C">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D">
            <w:pPr>
              <w:spacing w:line="240" w:lineRule="auto"/>
              <w:jc w:val="center"/>
              <w:rPr/>
            </w:pPr>
            <w:r>
              <w:rPr>
                <w:rFonts w:ascii="Times New Roman" w:cs="Times New Roman" w:eastAsia="Times New Roman" w:hAnsi="Times New Roman"/>
                <w:b w:val="0"/>
                <w:bCs w:val="0"/>
                <w:sz w:val="16"/>
                <w:szCs w:val="16"/>
                <w:rtl w:val="0"/>
              </w:rPr>
              <w:t xml:space="preserve">-1.42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E">
            <w:pPr>
              <w:spacing w:line="240" w:lineRule="auto"/>
              <w:jc w:val="center"/>
              <w:rPr/>
            </w:pPr>
            <w:r>
              <w:rPr>
                <w:rFonts w:ascii="Times New Roman" w:cs="Times New Roman" w:eastAsia="Times New Roman" w:hAnsi="Times New Roman"/>
                <w:b w:val="0"/>
                <w:bCs w:val="0"/>
                <w:sz w:val="16"/>
                <w:szCs w:val="16"/>
                <w:rtl w:val="0"/>
              </w:rPr>
              <w:t xml:space="preserve">1.96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F">
            <w:pPr>
              <w:spacing w:line="240" w:lineRule="auto"/>
              <w:jc w:val="center"/>
              <w:rPr/>
            </w:pPr>
            <w:r>
              <w:rPr>
                <w:rFonts w:ascii="Times New Roman" w:cs="Times New Roman" w:eastAsia="Times New Roman" w:hAnsi="Times New Roman"/>
                <w:b w:val="0"/>
                <w:bCs w:val="0"/>
                <w:sz w:val="16"/>
                <w:szCs w:val="16"/>
                <w:rtl w:val="0"/>
              </w:rPr>
              <w:t xml:space="preserve">-0.81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0">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1">
            <w:pPr>
              <w:spacing w:line="240" w:lineRule="auto"/>
              <w:jc w:val="center"/>
              <w:rPr/>
            </w:pPr>
            <w:r>
              <w:rPr>
                <w:rFonts w:ascii="Times New Roman" w:cs="Times New Roman" w:eastAsia="Times New Roman" w:hAnsi="Times New Roman"/>
                <w:b w:val="0"/>
                <w:bCs w:val="0"/>
                <w:sz w:val="16"/>
                <w:szCs w:val="16"/>
                <w:rtl w:val="0"/>
              </w:rPr>
              <w:t xml:space="preserve">0.94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2">
            <w:pPr>
              <w:spacing w:line="240" w:lineRule="auto"/>
              <w:jc w:val="left"/>
              <w:rPr/>
            </w:pPr>
            <w:r>
              <w:rPr>
                <w:rFonts w:ascii="Times New Roman" w:cs="Times New Roman" w:eastAsia="Times New Roman" w:hAnsi="Times New Roman"/>
                <w:b w:val="0"/>
                <w:bCs w:val="0"/>
                <w:sz w:val="16"/>
                <w:szCs w:val="16"/>
                <w:rtl w:val="0"/>
              </w:rPr>
              <w:t xml:space="preserve">Firm size (ln_empl)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3">
            <w:pPr>
              <w:spacing w:line="240" w:lineRule="auto"/>
              <w:jc w:val="center"/>
              <w:rPr/>
            </w:pPr>
            <w:r>
              <w:rPr>
                <w:rFonts w:ascii="Times New Roman" w:cs="Times New Roman" w:eastAsia="Times New Roman" w:hAnsi="Times New Roman"/>
                <w:b w:val="0"/>
                <w:bCs w:val="0"/>
                <w:sz w:val="16"/>
                <w:szCs w:val="16"/>
                <w:rtl w:val="0"/>
              </w:rPr>
              <w:t xml:space="preserve">3.21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4">
            <w:pPr>
              <w:spacing w:line="240" w:lineRule="auto"/>
              <w:jc w:val="center"/>
              <w:rPr/>
            </w:pPr>
            <w:r>
              <w:rPr>
                <w:rFonts w:ascii="Times New Roman" w:cs="Times New Roman" w:eastAsia="Times New Roman" w:hAnsi="Times New Roman"/>
                <w:b w:val="0"/>
                <w:bCs w:val="0"/>
                <w:sz w:val="16"/>
                <w:szCs w:val="16"/>
                <w:rtl w:val="0"/>
              </w:rPr>
              <w:t xml:space="preserve">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5">
            <w:pPr>
              <w:spacing w:line="240" w:lineRule="auto"/>
              <w:jc w:val="center"/>
              <w:rPr/>
            </w:pPr>
            <w:r>
              <w:rPr>
                <w:rFonts w:ascii="Times New Roman" w:cs="Times New Roman" w:eastAsia="Times New Roman" w:hAnsi="Times New Roman"/>
                <w:b w:val="0"/>
                <w:bCs w:val="0"/>
                <w:sz w:val="16"/>
                <w:szCs w:val="16"/>
                <w:rtl w:val="0"/>
              </w:rPr>
              <w:t xml:space="preserve">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6">
            <w:pPr>
              <w:spacing w:line="240" w:lineRule="auto"/>
              <w:jc w:val="center"/>
              <w:rPr/>
            </w:pPr>
            <w:r>
              <w:rPr>
                <w:rFonts w:ascii="Times New Roman" w:cs="Times New Roman" w:eastAsia="Times New Roman" w:hAnsi="Times New Roman"/>
                <w:b w:val="0"/>
                <w:bCs w:val="0"/>
                <w:sz w:val="16"/>
                <w:szCs w:val="16"/>
                <w:rtl w:val="0"/>
              </w:rPr>
              <w:t xml:space="preserve">8.85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7">
            <w:pPr>
              <w:spacing w:line="240" w:lineRule="auto"/>
              <w:jc w:val="center"/>
              <w:rPr/>
            </w:pPr>
            <w:r>
              <w:rPr>
                <w:rFonts w:ascii="Times New Roman" w:cs="Times New Roman" w:eastAsia="Times New Roman" w:hAnsi="Times New Roman"/>
                <w:b w:val="0"/>
                <w:bCs w:val="0"/>
                <w:sz w:val="16"/>
                <w:szCs w:val="16"/>
                <w:rtl w:val="0"/>
              </w:rPr>
              <w:t xml:space="preserve">2.20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8">
            <w:pPr>
              <w:spacing w:line="240" w:lineRule="auto"/>
              <w:jc w:val="center"/>
              <w:rPr/>
            </w:pPr>
            <w:r>
              <w:rPr>
                <w:rFonts w:ascii="Times New Roman" w:cs="Times New Roman" w:eastAsia="Times New Roman" w:hAnsi="Times New Roman"/>
                <w:b w:val="0"/>
                <w:bCs w:val="0"/>
                <w:sz w:val="16"/>
                <w:szCs w:val="16"/>
                <w:rtl w:val="0"/>
              </w:rPr>
              <w:t xml:space="preserve">3.18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9">
            <w:pPr>
              <w:spacing w:line="240" w:lineRule="auto"/>
              <w:jc w:val="center"/>
              <w:rPr/>
            </w:pPr>
            <w:r>
              <w:rPr>
                <w:rFonts w:ascii="Times New Roman" w:cs="Times New Roman" w:eastAsia="Times New Roman" w:hAnsi="Times New Roman"/>
                <w:b w:val="0"/>
                <w:bCs w:val="0"/>
                <w:sz w:val="16"/>
                <w:szCs w:val="16"/>
                <w:rtl w:val="0"/>
              </w:rPr>
              <w:t xml:space="preserve">4.25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A">
            <w:pPr>
              <w:spacing w:line="240" w:lineRule="auto"/>
              <w:jc w:val="left"/>
              <w:rPr/>
            </w:pPr>
            <w:r>
              <w:rPr>
                <w:rFonts w:ascii="Times New Roman" w:cs="Times New Roman" w:eastAsia="Times New Roman" w:hAnsi="Times New Roman"/>
                <w:b w:val="0"/>
                <w:bCs w:val="0"/>
                <w:sz w:val="16"/>
                <w:szCs w:val="16"/>
                <w:rtl w:val="0"/>
              </w:rPr>
              <w:t xml:space="preserve">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B">
            <w:pPr>
              <w:spacing w:line="240" w:lineRule="auto"/>
              <w:jc w:val="center"/>
              <w:rPr/>
            </w:pPr>
            <w:r>
              <w:rPr>
                <w:rFonts w:ascii="Times New Roman" w:cs="Times New Roman" w:eastAsia="Times New Roman" w:hAnsi="Times New Roman"/>
                <w:b w:val="0"/>
                <w:bCs w:val="0"/>
                <w:sz w:val="16"/>
                <w:szCs w:val="16"/>
                <w:rtl w:val="0"/>
              </w:rPr>
              <w:t xml:space="preserve">21.4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C">
            <w:pPr>
              <w:spacing w:line="240" w:lineRule="auto"/>
              <w:jc w:val="center"/>
              <w:rPr/>
            </w:pPr>
            <w:r>
              <w:rPr>
                <w:rFonts w:ascii="Times New Roman" w:cs="Times New Roman" w:eastAsia="Times New Roman" w:hAnsi="Times New Roman"/>
                <w:b w:val="0"/>
                <w:bCs w:val="0"/>
                <w:sz w:val="16"/>
                <w:szCs w:val="16"/>
                <w:rtl w:val="0"/>
              </w:rPr>
              <w:t xml:space="preserve">14.8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D">
            <w:pPr>
              <w:spacing w:line="240" w:lineRule="auto"/>
              <w:jc w:val="center"/>
              <w:rPr/>
            </w:pPr>
            <w:r>
              <w:rPr>
                <w:rFonts w:ascii="Times New Roman" w:cs="Times New Roman" w:eastAsia="Times New Roman" w:hAnsi="Times New Roman"/>
                <w:b w:val="0"/>
                <w:bCs w:val="0"/>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E">
            <w:pPr>
              <w:spacing w:line="240" w:lineRule="auto"/>
              <w:jc w:val="center"/>
              <w:rPr/>
            </w:pPr>
            <w:r>
              <w:rPr>
                <w:rFonts w:ascii="Times New Roman" w:cs="Times New Roman" w:eastAsia="Times New Roman" w:hAnsi="Times New Roman"/>
                <w:b w:val="0"/>
                <w:bCs w:val="0"/>
                <w:sz w:val="16"/>
                <w:szCs w:val="16"/>
                <w:rtl w:val="0"/>
              </w:rPr>
              <w:t xml:space="preserve">98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F">
            <w:pPr>
              <w:spacing w:line="240" w:lineRule="auto"/>
              <w:jc w:val="center"/>
              <w:rPr/>
            </w:pPr>
            <w:r>
              <w:rPr>
                <w:rFonts w:ascii="Times New Roman" w:cs="Times New Roman" w:eastAsia="Times New Roman" w:hAnsi="Times New Roman"/>
                <w:b w:val="0"/>
                <w:bCs w:val="0"/>
                <w:sz w:val="16"/>
                <w:szCs w:val="16"/>
                <w:rtl w:val="0"/>
              </w:rPr>
              <w:t xml:space="preserve">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0">
            <w:pPr>
              <w:spacing w:line="240" w:lineRule="auto"/>
              <w:jc w:val="center"/>
              <w:rPr/>
            </w:pPr>
            <w:r>
              <w:rPr>
                <w:rFonts w:ascii="Times New Roman" w:cs="Times New Roman" w:eastAsia="Times New Roman" w:hAnsi="Times New Roman"/>
                <w:b w:val="0"/>
                <w:bCs w:val="0"/>
                <w:sz w:val="16"/>
                <w:szCs w:val="16"/>
                <w:rtl w:val="0"/>
              </w:rPr>
              <w:t xml:space="preserve">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1">
            <w:pPr>
              <w:spacing w:line="240" w:lineRule="auto"/>
              <w:jc w:val="center"/>
              <w:rPr/>
            </w:pPr>
            <w:r>
              <w:rPr>
                <w:rFonts w:ascii="Times New Roman" w:cs="Times New Roman" w:eastAsia="Times New Roman" w:hAnsi="Times New Roman"/>
                <w:b w:val="0"/>
                <w:bCs w:val="0"/>
                <w:sz w:val="16"/>
                <w:szCs w:val="16"/>
                <w:rtl w:val="0"/>
              </w:rPr>
              <w:t xml:space="preserve">30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2">
            <w:pPr>
              <w:spacing w:line="240" w:lineRule="auto"/>
              <w:jc w:val="left"/>
              <w:rPr/>
            </w:pPr>
            <w:r>
              <w:rPr>
                <w:rFonts w:ascii="Times New Roman" w:cs="Times New Roman" w:eastAsia="Times New Roman" w:hAnsi="Times New Roman"/>
                <w:b w:val="0"/>
                <w:bCs w:val="0"/>
                <w:sz w:val="16"/>
                <w:szCs w:val="16"/>
                <w:rtl w:val="0"/>
              </w:rPr>
              <w:t xml:space="preserve">Foreign-owned (0/1)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3">
            <w:pPr>
              <w:spacing w:line="240" w:lineRule="auto"/>
              <w:jc w:val="center"/>
              <w:rPr/>
            </w:pPr>
            <w:r>
              <w:rPr>
                <w:rFonts w:ascii="Times New Roman" w:cs="Times New Roman" w:eastAsia="Times New Roman" w:hAnsi="Times New Roman"/>
                <w:b w:val="0"/>
                <w:bCs w:val="0"/>
                <w:sz w:val="16"/>
                <w:szCs w:val="16"/>
                <w:rtl w:val="0"/>
              </w:rPr>
              <w:t xml:space="preserve">0.119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4">
            <w:pPr>
              <w:spacing w:line="240" w:lineRule="auto"/>
              <w:jc w:val="center"/>
              <w:rPr/>
            </w:pPr>
            <w:r>
              <w:rPr>
                <w:rFonts w:ascii="Times New Roman" w:cs="Times New Roman" w:eastAsia="Times New Roman" w:hAnsi="Times New Roman"/>
                <w:b w:val="0"/>
                <w:bCs w:val="0"/>
                <w:sz w:val="16"/>
                <w:szCs w:val="16"/>
                <w:rtl w:val="0"/>
              </w:rPr>
              <w:t xml:space="preserve">0.324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5">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6">
            <w:pPr>
              <w:spacing w:line="240" w:lineRule="auto"/>
              <w:jc w:val="center"/>
              <w:rPr/>
            </w:pPr>
            <w:r>
              <w:rPr>
                <w:rFonts w:ascii="Times New Roman" w:cs="Times New Roman" w:eastAsia="Times New Roman" w:hAnsi="Times New Roman"/>
                <w:b w:val="0"/>
                <w:bCs w:val="0"/>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7">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8">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9">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A">
            <w:pPr>
              <w:spacing w:line="240" w:lineRule="auto"/>
              <w:jc w:val="left"/>
              <w:rPr/>
            </w:pPr>
            <w:r>
              <w:rPr>
                <w:rFonts w:ascii="Times New Roman" w:cs="Times New Roman" w:eastAsia="Times New Roman" w:hAnsi="Times New Roman"/>
                <w:b w:val="1"/>
                <w:bCs w:val="1"/>
                <w:sz w:val="16"/>
                <w:szCs w:val="16"/>
                <w:rtl w:val="0"/>
              </w:rPr>
              <w:t xml:space="preserve">Panel B: Pairwise Correlations</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B">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C">
            <w:pPr>
              <w:spacing w:line="240" w:lineRule="auto"/>
              <w:jc w:val="center"/>
              <w:rPr/>
            </w:pPr>
            <w:r>
              <w:rPr>
                <w:rFonts w:ascii="Times New Roman" w:cs="Times New Roman" w:eastAsia="Times New Roman" w:hAnsi="Times New Roman"/>
                <w:b w:val="1"/>
                <w:bCs w:val="1"/>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D">
            <w:pPr>
              <w:spacing w:line="240" w:lineRule="auto"/>
              <w:jc w:val="center"/>
              <w:rPr/>
            </w:pPr>
            <w:r>
              <w:rPr>
                <w:rFonts w:ascii="Times New Roman" w:cs="Times New Roman" w:eastAsia="Times New Roman" w:hAnsi="Times New Roman"/>
                <w:b w:val="1"/>
                <w:bCs w:val="1"/>
                <w:sz w:val="16"/>
                <w:szCs w:val="16"/>
                <w:rtl w:val="0"/>
              </w:rPr>
              <w:t xml:space="preserve">2</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E">
            <w:pPr>
              <w:spacing w:line="240" w:lineRule="auto"/>
              <w:jc w:val="center"/>
              <w:rPr/>
            </w:pPr>
            <w:r>
              <w:rPr>
                <w:rFonts w:ascii="Times New Roman" w:cs="Times New Roman" w:eastAsia="Times New Roman" w:hAnsi="Times New Roman"/>
                <w:b w:val="1"/>
                <w:bCs w:val="1"/>
                <w:sz w:val="16"/>
                <w:szCs w:val="16"/>
                <w:rtl w:val="0"/>
              </w:rPr>
              <w:t xml:space="preserve">3</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F">
            <w:pPr>
              <w:spacing w:line="240" w:lineRule="auto"/>
              <w:jc w:val="center"/>
              <w:rPr/>
            </w:pPr>
            <w:r>
              <w:rPr>
                <w:rFonts w:ascii="Times New Roman" w:cs="Times New Roman" w:eastAsia="Times New Roman" w:hAnsi="Times New Roman"/>
                <w:b w:val="1"/>
                <w:bCs w:val="1"/>
                <w:sz w:val="16"/>
                <w:szCs w:val="16"/>
                <w:rtl w:val="0"/>
              </w:rPr>
              <w:t xml:space="preserve">4</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0">
            <w:pPr>
              <w:spacing w:line="240" w:lineRule="auto"/>
              <w:jc w:val="center"/>
              <w:rPr/>
            </w:pPr>
            <w:r>
              <w:rPr>
                <w:rFonts w:ascii="Times New Roman" w:cs="Times New Roman" w:eastAsia="Times New Roman" w:hAnsi="Times New Roman"/>
                <w:b w:val="1"/>
                <w:bCs w:val="1"/>
                <w:sz w:val="16"/>
                <w:szCs w:val="16"/>
                <w:rtl w:val="0"/>
              </w:rPr>
              <w:t xml:space="preserve">5</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1">
            <w:pPr>
              <w:spacing w:line="240" w:lineRule="auto"/>
              <w:jc w:val="center"/>
              <w:rPr/>
            </w:pPr>
            <w:r>
              <w:rPr>
                <w:rFonts w:ascii="Times New Roman" w:cs="Times New Roman" w:eastAsia="Times New Roman" w:hAnsi="Times New Roman"/>
                <w:b w:val="1"/>
                <w:bCs w:val="1"/>
                <w:sz w:val="16"/>
                <w:szCs w:val="16"/>
                <w:rtl w:val="0"/>
              </w:rPr>
              <w:t xml:space="preserve">6</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2">
            <w:pPr>
              <w:spacing w:line="240" w:lineRule="auto"/>
              <w:jc w:val="center"/>
              <w:rPr/>
            </w:pPr>
            <w:r>
              <w:rPr>
                <w:rFonts w:ascii="Times New Roman" w:cs="Times New Roman" w:eastAsia="Times New Roman" w:hAnsi="Times New Roman"/>
                <w:b w:val="1"/>
                <w:bCs w:val="1"/>
                <w:sz w:val="16"/>
                <w:szCs w:val="16"/>
                <w:rtl w:val="0"/>
              </w:rPr>
              <w:t xml:space="preserve">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3">
            <w:pPr>
              <w:spacing w:line="240" w:lineRule="auto"/>
              <w:jc w:val="left"/>
              <w:rPr/>
            </w:pPr>
            <w:r>
              <w:rPr>
                <w:rFonts w:ascii="Times New Roman" w:cs="Times New Roman" w:eastAsia="Times New Roman" w:hAnsi="Times New Roman"/>
                <w:b w:val="0"/>
                <w:bCs w:val="0"/>
                <w:sz w:val="16"/>
                <w:szCs w:val="16"/>
                <w:rtl w:val="0"/>
              </w:rPr>
              <w:t xml:space="preserve">1. Ln(Lab. prod.)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4">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B">
            <w:pPr>
              <w:spacing w:line="240" w:lineRule="auto"/>
              <w:jc w:val="left"/>
              <w:rPr/>
            </w:pPr>
            <w:r>
              <w:rPr>
                <w:rFonts w:ascii="Times New Roman" w:cs="Times New Roman" w:eastAsia="Times New Roman" w:hAnsi="Times New Roman"/>
                <w:b w:val="0"/>
                <w:bCs w:val="0"/>
                <w:sz w:val="16"/>
                <w:szCs w:val="16"/>
                <w:rtl w:val="0"/>
              </w:rPr>
              <w:t xml:space="preserve">2. 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C">
            <w:pPr>
              <w:spacing w:line="240" w:lineRule="auto"/>
              <w:jc w:val="center"/>
              <w:rPr/>
            </w:pPr>
            <w:r>
              <w:rPr>
                <w:rFonts w:ascii="Times New Roman" w:cs="Times New Roman" w:eastAsia="Times New Roman" w:hAnsi="Times New Roman"/>
                <w:b w:val="0"/>
                <w:bCs w:val="0"/>
                <w:sz w:val="16"/>
                <w:szCs w:val="16"/>
                <w:rtl w:val="0"/>
              </w:rPr>
              <w:t xml:space="preserve">0.13***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D">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3">
            <w:pPr>
              <w:spacing w:line="240" w:lineRule="auto"/>
              <w:jc w:val="left"/>
              <w:rPr/>
            </w:pPr>
            <w:r>
              <w:rPr>
                <w:rFonts w:ascii="Times New Roman" w:cs="Times New Roman" w:eastAsia="Times New Roman" w:hAnsi="Times New Roman"/>
                <w:b w:val="0"/>
                <w:bCs w:val="0"/>
                <w:sz w:val="16"/>
                <w:szCs w:val="16"/>
                <w:rtl w:val="0"/>
              </w:rPr>
              <w:t xml:space="preserve">3. 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4">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5">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6">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B">
            <w:pPr>
              <w:spacing w:line="240" w:lineRule="auto"/>
              <w:jc w:val="left"/>
              <w:rPr/>
            </w:pPr>
            <w:r>
              <w:rPr>
                <w:rFonts w:ascii="Times New Roman" w:cs="Times New Roman" w:eastAsia="Times New Roman" w:hAnsi="Times New Roman"/>
                <w:b w:val="0"/>
                <w:bCs w:val="0"/>
                <w:sz w:val="16"/>
                <w:szCs w:val="16"/>
                <w:rtl w:val="0"/>
              </w:rPr>
              <w:t xml:space="preserve">4. 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C">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D">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E">
            <w:pPr>
              <w:spacing w:line="240" w:lineRule="auto"/>
              <w:jc w:val="center"/>
              <w:rPr/>
            </w:pPr>
            <w:r>
              <w:rPr>
                <w:rFonts w:ascii="Times New Roman" w:cs="Times New Roman" w:eastAsia="Times New Roman" w:hAnsi="Times New Roman"/>
                <w:b w:val="0"/>
                <w:bCs w:val="0"/>
                <w:sz w:val="16"/>
                <w:szCs w:val="16"/>
                <w:rtl w:val="0"/>
              </w:rPr>
              <w:t xml:space="preserve">0.31***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F">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3">
            <w:pPr>
              <w:spacing w:line="240" w:lineRule="auto"/>
              <w:jc w:val="left"/>
              <w:rPr/>
            </w:pPr>
            <w:r>
              <w:rPr>
                <w:rFonts w:ascii="Times New Roman" w:cs="Times New Roman" w:eastAsia="Times New Roman" w:hAnsi="Times New Roman"/>
                <w:b w:val="0"/>
                <w:bCs w:val="0"/>
                <w:sz w:val="16"/>
                <w:szCs w:val="16"/>
                <w:rtl w:val="0"/>
              </w:rPr>
              <w:t xml:space="preserve">5. Firm size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4">
            <w:pPr>
              <w:spacing w:line="240" w:lineRule="auto"/>
              <w:jc w:val="center"/>
              <w:rPr/>
            </w:pPr>
            <w:r>
              <w:rPr>
                <w:rFonts w:ascii="Times New Roman" w:cs="Times New Roman" w:eastAsia="Times New Roman" w:hAnsi="Times New Roman"/>
                <w:b w:val="0"/>
                <w:bCs w:val="0"/>
                <w:sz w:val="16"/>
                <w:szCs w:val="16"/>
                <w:rtl w:val="0"/>
              </w:rPr>
              <w:t xml:space="preserve">-0.04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5">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6">
            <w:pPr>
              <w:spacing w:line="240" w:lineRule="auto"/>
              <w:jc w:val="center"/>
              <w:rPr/>
            </w:pPr>
            <w:r>
              <w:rPr>
                <w:rFonts w:ascii="Times New Roman" w:cs="Times New Roman" w:eastAsia="Times New Roman" w:hAnsi="Times New Roman"/>
                <w:b w:val="0"/>
                <w:bCs w:val="0"/>
                <w:sz w:val="16"/>
                <w:szCs w:val="16"/>
                <w:rtl w:val="0"/>
              </w:rPr>
              <w:t xml:space="preserve">0.34***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7">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8">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B">
            <w:pPr>
              <w:spacing w:line="240" w:lineRule="auto"/>
              <w:jc w:val="left"/>
              <w:rPr/>
            </w:pPr>
            <w:r>
              <w:rPr>
                <w:rFonts w:ascii="Times New Roman" w:cs="Times New Roman" w:eastAsia="Times New Roman" w:hAnsi="Times New Roman"/>
                <w:b w:val="0"/>
                <w:bCs w:val="0"/>
                <w:sz w:val="16"/>
                <w:szCs w:val="16"/>
                <w:rtl w:val="0"/>
              </w:rPr>
              <w:t xml:space="preserve">6. 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C">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D">
            <w:pPr>
              <w:spacing w:line="240" w:lineRule="auto"/>
              <w:jc w:val="center"/>
              <w:rPr/>
            </w:pPr>
            <w:r>
              <w:rPr>
                <w:rFonts w:ascii="Times New Roman" w:cs="Times New Roman" w:eastAsia="Times New Roman" w:hAnsi="Times New Roman"/>
                <w:b w:val="0"/>
                <w:bCs w:val="0"/>
                <w:sz w:val="16"/>
                <w:szCs w:val="16"/>
                <w:rtl w:val="0"/>
              </w:rPr>
              <w:t xml:space="preserve">0.06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E">
            <w:pPr>
              <w:spacing w:line="240" w:lineRule="auto"/>
              <w:jc w:val="center"/>
              <w:rPr/>
            </w:pPr>
            <w:r>
              <w:rPr>
                <w:rFonts w:ascii="Times New Roman" w:cs="Times New Roman" w:eastAsia="Times New Roman" w:hAnsi="Times New Roman"/>
                <w:b w:val="0"/>
                <w:bCs w:val="0"/>
                <w:sz w:val="16"/>
                <w:szCs w:val="16"/>
                <w:rtl w:val="0"/>
              </w:rPr>
              <w:t xml:space="preserve">0.07†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F">
            <w:pPr>
              <w:spacing w:line="240" w:lineRule="auto"/>
              <w:jc w:val="center"/>
              <w:rPr/>
            </w:pPr>
            <w:r>
              <w:rPr>
                <w:rFonts w:ascii="Times New Roman" w:cs="Times New Roman" w:eastAsia="Times New Roman" w:hAnsi="Times New Roman"/>
                <w:b w:val="0"/>
                <w:bCs w:val="0"/>
                <w:sz w:val="16"/>
                <w:szCs w:val="16"/>
                <w:rtl w:val="0"/>
              </w:rPr>
              <w:t xml:space="preserve">0.04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0">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1">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3">
            <w:pPr>
              <w:spacing w:line="240" w:lineRule="auto"/>
              <w:jc w:val="left"/>
              <w:rPr/>
            </w:pPr>
            <w:r>
              <w:rPr>
                <w:rFonts w:ascii="Times New Roman" w:cs="Times New Roman" w:eastAsia="Times New Roman" w:hAnsi="Times New Roman"/>
                <w:b w:val="0"/>
                <w:bCs w:val="0"/>
                <w:sz w:val="16"/>
                <w:szCs w:val="16"/>
                <w:rtl w:val="0"/>
              </w:rPr>
              <w:t xml:space="preserve">7. Foreign-owned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4">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5">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6">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7">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8">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9">
            <w:pPr>
              <w:spacing w:line="240" w:lineRule="auto"/>
              <w:jc w:val="center"/>
              <w:rPr/>
            </w:pPr>
            <w:r>
              <w:rPr>
                <w:rFonts w:ascii="Times New Roman" w:cs="Times New Roman" w:eastAsia="Times New Roman" w:hAnsi="Times New Roman"/>
                <w:b w:val="0"/>
                <w:bCs w:val="0"/>
                <w:sz w:val="16"/>
                <w:szCs w:val="16"/>
                <w:rtl w:val="0"/>
              </w:rPr>
              <w:t xml:space="preserve">-0.05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A">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r>
    </w:tbl>
    <w:p w:rsidR="00000000" w:rsidDel="00000000" w:rsidP="00000000" w:rsidRDefault="00000000" w:rsidRPr="00000000" w14:paraId="000000CB">
      <w:pPr>
        <w:spacing w:after="60" w:line="480" w:lineRule="auto"/>
        <w:jc w:val="left"/>
        <w:rPr/>
      </w:pPr>
      <w:r>
        <w:rPr>
          <w:rtl w:val="0"/>
        </w:rPr>
      </w:r>
    </w:p>
    <w:p w:rsidR="00000000" w:rsidDel="00000000" w:rsidP="00000000" w:rsidRDefault="00000000" w:rsidRPr="00000000" w14:paraId="000000CC">
      <w:pPr>
        <w:spacing w:after="240" w:line="480" w:lineRule="auto"/>
        <w:jc w:val="left"/>
        <w:rPr/>
      </w:pPr>
      <w:r>
        <w:rPr>
          <w:rFonts w:ascii="Times New Roman" w:cs="Times New Roman" w:eastAsia="Times New Roman" w:hAnsi="Times New Roman"/>
          <w:i w:val="1"/>
          <w:iCs w:val="1"/>
          <w:sz w:val="16"/>
          <w:szCs w:val="16"/>
          <w:rtl w:val="0"/>
        </w:rPr>
        <w:t>Notes: N = 623. TCI and DAI are z-standardized formative composites. FSTS is the share of annual sales accounted for by direct exports. Two-tailed significance levels are reported as follows: p &lt; .10, p &lt; .05, p &lt; .01.</w:t>
      </w:r>
      <w:r>
        <w:rPr>
          <w:rtl w:val="0"/>
        </w:rPr>
      </w:r>
    </w:p>
    <w:p w:rsidR="00000000" w:rsidDel="00000000" w:rsidP="00000000" w:rsidRDefault="00000000" w:rsidRPr="00000000" w14:paraId="000000CD">
      <w:pPr>
        <w:spacing w:after="160" w:before="280" w:lineRule="auto"/>
        <w:jc w:val="left"/>
        <w:rPr/>
      </w:pPr>
      <w:r>
        <w:rPr>
          <w:rFonts w:ascii="Times New Roman" w:cs="Times New Roman" w:eastAsia="Times New Roman" w:hAnsi="Times New Roman"/>
          <w:b w:val="1"/>
          <w:bCs w:val="1"/>
          <w:sz w:val="22"/>
          <w:szCs w:val="22"/>
          <w:rtl w:val="0"/>
        </w:rPr>
        <w:t xml:space="preserve">4.2 The I–P relationship: primarily monotonic with mild curvature</w:t>
      </w:r>
      <w:r>
        <w:rPr>
          <w:rtl w:val="0"/>
        </w:rPr>
      </w:r>
    </w:p>
    <w:p w:rsidR="00000000" w:rsidDel="00000000" w:rsidP="00000000" w:rsidRDefault="00000000" w:rsidRPr="00000000" w14:paraId="000000CE">
      <w:pPr>
        <w:spacing w:after="0" w:line="480" w:lineRule="auto"/>
        <w:ind w:firstLine="720"/>
        <w:jc w:val="both"/>
        <w:rPr/>
      </w:pPr>
      <w:r>
        <w:rPr>
          <w:rFonts w:ascii="Cardo" w:cs="Cardo" w:eastAsia="Cardo" w:hAnsi="Cardo"/>
          <w:sz w:val="20"/>
          <w:szCs w:val="20"/>
          <w:rtl w:val="0"/>
        </w:rPr>
        <w:t>In the baseline quadratic specification (Model M2), the linear FSTS term is positive and statistically significant (β = 2.652, SE = 0.691, p &lt; .001), while the squared FSTS term is negative and only marginally significant (β = −1.705, SE = 0.931, p = .067). The fitted curve therefore implies a turning point at very high export intensity, around FSTS 82% on the original scale; a 5,000-replication cluster bootstrap places the 95% percentile confidence interval for this turning point at [53%, 253%] (median 80%, IQR [68%, 102%]), while recovering an inverted-U *shape* in 96.3% of bootstrap replications. The shape is therefore robustly inverted-U, but its precise location is only loosely identified, and the implied turning point should be treated as a descriptive feature rather than as structurally identified evidence of a conventional inverted-U.</w:t>
      </w:r>
      <w:r>
        <w:rPr>
          <w:rtl w:val="0"/>
        </w:rPr>
      </w:r>
    </w:p>
    <w:p w:rsidR="00000000" w:rsidDel="00000000" w:rsidP="00000000" w:rsidRDefault="00000000" w:rsidRPr="00000000" w14:paraId="000000CE">
      <w:pPr>
        <w:spacing w:after="0" w:line="480" w:lineRule="auto"/>
        <w:ind w:firstLine="720"/>
        <w:jc w:val="both"/>
        <w:rPr/>
      </w:pPr>
      <w:r>
        <w:rPr>
          <w:rFonts w:ascii="Cardo" w:cs="Cardo" w:eastAsia="Cardo" w:hAnsi="Cardo"/>
          <w:sz w:val="20"/>
          <w:szCs w:val="20"/>
          <w:rtl w:val="0"/>
        </w:rPr>
        <w:t>The formal Lind–Mehlum test fails to reject monotonicity, with p = .303. Following the interpretation already developed in the revision package, the internationalization–performance relationship is therefore better characterized as predominantly monotonic positive with mild quadratic curvature within the observed export-intensity range. This framing is important because it qualifies, rather than overturns, the classic nonlinear literature: the right-side decline may exist in principle, but in a digitally mature institutional setting it appears attenuated or shifted into a sparsely populated upper tail.</w:t>
      </w:r>
      <w:r>
        <w:rPr>
          <w:rtl w:val="0"/>
        </w:rPr>
      </w:r>
    </w:p>
    <w:p w:rsidR="00000000" w:rsidDel="00000000" w:rsidP="00000000" w:rsidRDefault="00000000" w:rsidRPr="00000000" w14:paraId="000000CF">
      <w:pPr>
        <w:spacing w:after="160" w:before="280" w:lineRule="auto"/>
        <w:jc w:val="left"/>
        <w:rPr/>
      </w:pPr>
      <w:r>
        <w:rPr>
          <w:rFonts w:ascii="Times New Roman" w:cs="Times New Roman" w:eastAsia="Times New Roman" w:hAnsi="Times New Roman"/>
          <w:b w:val="1"/>
          <w:bCs w:val="1"/>
          <w:sz w:val="22"/>
          <w:szCs w:val="22"/>
          <w:rtl w:val="0"/>
        </w:rPr>
        <w:t>4.3 TCI results</w:t>
      </w:r>
      <w:r>
        <w:rPr>
          <w:rtl w:val="0"/>
        </w:rPr>
      </w:r>
    </w:p>
    <w:p w:rsidR="00000000" w:rsidDel="00000000" w:rsidP="00000000" w:rsidRDefault="00000000" w:rsidRPr="00000000" w14:paraId="000000D0">
      <w:pPr>
        <w:spacing w:after="0" w:line="480" w:lineRule="auto"/>
        <w:ind w:firstLine="720"/>
        <w:jc w:val="both"/>
        <w:rPr/>
      </w:pPr>
      <w:r>
        <w:rPr>
          <w:rFonts w:ascii="Times New Roman" w:cs="Times New Roman" w:eastAsia="Times New Roman" w:hAnsi="Times New Roman"/>
          <w:sz w:val="20"/>
          <w:szCs w:val="20"/>
          <w:rtl w:val="0"/>
        </w:rPr>
        <w:t>The direct-effect model for technological capability (Model M5) shows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rPr>
          <w:rtl w:val="0"/>
        </w:rPr>
      </w:r>
    </w:p>
    <w:p w:rsidR="00000000" w:rsidDel="00000000" w:rsidP="00000000" w:rsidRDefault="00000000" w:rsidRPr="00000000" w14:paraId="000000D0">
      <w:pPr>
        <w:spacing w:after="0" w:line="480" w:lineRule="auto"/>
        <w:ind w:firstLine="720"/>
        <w:jc w:val="both"/>
        <w:rPr/>
      </w:pPr>
      <w:r>
        <w:rPr>
          <w:rFonts w:ascii="Times New Roman" w:cs="Times New Roman" w:eastAsia="Times New Roman" w:hAnsi="Times New Roman"/>
          <w:sz w:val="20"/>
          <w:szCs w:val="20"/>
          <w:rtl w:val="0"/>
        </w:rPr>
        <w:t>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The manuscript therefore should interpret TCI primarily as a level-shift effect on the productivity intercept rather than as a curvature-shaping moderator of the internationalization–performance relationship. This is also the most coherent reading for hypothesis development, because it preserves the distinction between internal capability depth and export-contingent digital complementarity.</w:t>
      </w:r>
      <w:r>
        <w:rPr>
          <w:rtl w:val="0"/>
        </w:rPr>
      </w:r>
    </w:p>
    <w:p w:rsidR="00000000" w:rsidDel="00000000" w:rsidP="00000000" w:rsidRDefault="00000000" w:rsidRPr="00000000" w14:paraId="000000D1">
      <w:pPr>
        <w:spacing w:after="160" w:before="280" w:lineRule="auto"/>
        <w:jc w:val="left"/>
        <w:rPr/>
      </w:pPr>
      <w:r>
        <w:rPr>
          <w:rFonts w:ascii="Times New Roman" w:cs="Times New Roman" w:eastAsia="Times New Roman" w:hAnsi="Times New Roman"/>
          <w:b w:val="1"/>
          <w:bCs w:val="1"/>
          <w:sz w:val="22"/>
          <w:szCs w:val="22"/>
          <w:rtl w:val="0"/>
        </w:rPr>
        <w:t>4.4 DAI results</w:t>
      </w:r>
      <w:r>
        <w:rPr>
          <w:rtl w:val="0"/>
        </w:rPr>
      </w:r>
    </w:p>
    <w:p w:rsidR="00000000" w:rsidDel="00000000" w:rsidP="00000000" w:rsidRDefault="00000000" w:rsidRPr="00000000" w14:paraId="000000D2">
      <w:pPr>
        <w:spacing w:after="0" w:line="480" w:lineRule="auto"/>
        <w:ind w:firstLine="720"/>
        <w:jc w:val="both"/>
        <w:rPr/>
      </w:pPr>
      <w:r>
        <w:rPr>
          <w:rFonts w:ascii="Times New Roman" w:cs="Times New Roman" w:eastAsia="Times New Roman" w:hAnsi="Times New Roman"/>
          <w:sz w:val="20"/>
          <w:szCs w:val="20"/>
          <w:rtl w:val="0"/>
        </w:rPr>
        <w:t>In the direct-effect model for digital adoption (Model M6), DAI is positively associated with labour productivity (β = 0.104, SE = 0.038, p = .007). However, once TCI is included alongside DAI in Model M7, the DAI coefficient attenuates to β = 0.077 and remains marginal (p = .048), indicating partial overlap in the average-firm heterogeneity captured by the two constructs. This attenuation is substantively important because it suggests that DAI should not be interpreted as a large, universal productivity premium across all firms.</w:t>
      </w:r>
      <w:r>
        <w:rPr>
          <w:rtl w:val="0"/>
        </w:rPr>
      </w:r>
    </w:p>
    <w:p w:rsidR="00000000" w:rsidDel="00000000" w:rsidP="00000000" w:rsidRDefault="00000000" w:rsidRPr="00000000" w14:paraId="000000D3">
      <w:pPr>
        <w:spacing w:after="60" w:line="480" w:lineRule="auto"/>
        <w:jc w:val="left"/>
        <w:rPr/>
      </w:pPr>
      <w:r>
        <w:rPr>
          <w:rFonts w:ascii="Times New Roman" w:cs="Times New Roman" w:eastAsia="Times New Roman" w:hAnsi="Times New Roman"/>
          <w:b w:val="1"/>
          <w:bCs w:val="1"/>
          <w:sz w:val="20"/>
          <w:szCs w:val="20"/>
          <w:rtl w:val="0"/>
        </w:rPr>
        <w:t xml:space="preserve">Table 2. Hierarchical OLS regression results — Singapore 2023.</w:t>
      </w:r>
      <w:r>
        <w:rPr>
          <w:rtl w:val="0"/>
        </w:rPr>
      </w:r>
    </w:p>
    <w:p w:rsidR="00000000" w:rsidDel="00000000" w:rsidP="00000000" w:rsidRDefault="00000000" w:rsidRPr="00000000" w14:paraId="000000D4">
      <w:pPr>
        <w:spacing w:after="120" w:line="480" w:lineRule="auto"/>
        <w:jc w:val="left"/>
        <w:rPr/>
      </w:pPr>
      <w:r>
        <w:rPr>
          <w:rFonts w:ascii="Times New Roman" w:cs="Times New Roman" w:eastAsia="Times New Roman" w:hAnsi="Times New Roman"/>
          <w:i w:val="1"/>
          <w:iCs w:val="1"/>
          <w:sz w:val="16"/>
          <w:szCs w:val="16"/>
          <w:rtl w:val="0"/>
        </w:rPr>
        <w:t xml:space="preserve">DV: Ln(Labour Productivity). HC1 robust standard errors in parentheses.</w:t>
      </w:r>
      <w:r>
        <w:rPr>
          <w:rtl w:val="0"/>
        </w:rPr>
      </w:r>
    </w:p>
    <w:tbl>
      <w:tblPr>
        <w:tblStyle w:val="Table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900"/>
        <w:gridCol w:w="900"/>
        <w:gridCol w:w="900"/>
        <w:gridCol w:w="900"/>
        <w:gridCol w:w="900"/>
        <w:gridCol w:w="900"/>
        <w:gridCol w:w="900"/>
        <w:tblGridChange w:id="0">
          <w:tblGrid>
            <w:gridCol w:w="1620"/>
            <w:gridCol w:w="900"/>
            <w:gridCol w:w="900"/>
            <w:gridCol w:w="900"/>
            <w:gridCol w:w="900"/>
            <w:gridCol w:w="900"/>
            <w:gridCol w:w="9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5">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6">
            <w:pPr>
              <w:spacing w:line="240" w:lineRule="auto"/>
              <w:jc w:val="center"/>
              <w:rPr/>
            </w:pPr>
            <w:r>
              <w:rPr>
                <w:rFonts w:ascii="Times New Roman" w:cs="Times New Roman" w:eastAsia="Times New Roman" w:hAnsi="Times New Roman"/>
                <w:b w:val="1"/>
                <w:bCs w:val="1"/>
                <w:sz w:val="16"/>
                <w:szCs w:val="16"/>
                <w:rtl w:val="0"/>
              </w:rPr>
              <w:t xml:space="preserve">M0Ctrl</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7">
            <w:pPr>
              <w:spacing w:line="240" w:lineRule="auto"/>
              <w:jc w:val="center"/>
              <w:rPr/>
            </w:pPr>
            <w:r>
              <w:rPr>
                <w:rFonts w:ascii="Times New Roman" w:cs="Times New Roman" w:eastAsia="Times New Roman" w:hAnsi="Times New Roman"/>
                <w:b w:val="1"/>
                <w:bCs w:val="1"/>
                <w:sz w:val="16"/>
                <w:szCs w:val="16"/>
                <w:rtl w:val="0"/>
              </w:rPr>
              <w:t xml:space="preserve">M2Inv-U</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8">
            <w:pPr>
              <w:spacing w:line="240" w:lineRule="auto"/>
              <w:jc w:val="center"/>
              <w:rPr/>
            </w:pPr>
            <w:r>
              <w:rPr>
                <w:rFonts w:ascii="Times New Roman" w:cs="Times New Roman" w:eastAsia="Times New Roman" w:hAnsi="Times New Roman"/>
                <w:b w:val="1"/>
                <w:bCs w:val="1"/>
                <w:sz w:val="16"/>
                <w:szCs w:val="16"/>
                <w:rtl w:val="0"/>
              </w:rPr>
              <w:t xml:space="preserve">M5+TCI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9">
            <w:pPr>
              <w:spacing w:line="240" w:lineRule="auto"/>
              <w:jc w:val="center"/>
              <w:rPr/>
            </w:pPr>
            <w:r>
              <w:rPr>
                <w:rFonts w:ascii="Times New Roman" w:cs="Times New Roman" w:eastAsia="Times New Roman" w:hAnsi="Times New Roman"/>
                <w:b w:val="1"/>
                <w:bCs w:val="1"/>
                <w:sz w:val="16"/>
                <w:szCs w:val="16"/>
                <w:rtl w:val="0"/>
              </w:rPr>
              <w:t xml:space="preserve">M6+DAI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A">
            <w:pPr>
              <w:spacing w:line="240" w:lineRule="auto"/>
              <w:jc w:val="center"/>
              <w:rPr/>
            </w:pPr>
            <w:r>
              <w:rPr>
                <w:rFonts w:ascii="Times New Roman" w:cs="Times New Roman" w:eastAsia="Times New Roman" w:hAnsi="Times New Roman"/>
                <w:b w:val="1"/>
                <w:bCs w:val="1"/>
                <w:sz w:val="16"/>
                <w:szCs w:val="16"/>
                <w:rtl w:val="0"/>
              </w:rPr>
              <w:t xml:space="preserve">M7T+D</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B">
            <w:pPr>
              <w:spacing w:line="240" w:lineRule="auto"/>
              <w:jc w:val="center"/>
              <w:rPr/>
            </w:pPr>
            <w:r>
              <w:rPr>
                <w:rFonts w:ascii="Times New Roman" w:cs="Times New Roman" w:eastAsia="Times New Roman" w:hAnsi="Times New Roman"/>
                <w:b w:val="1"/>
                <w:bCs w:val="1"/>
                <w:sz w:val="16"/>
                <w:szCs w:val="16"/>
                <w:rtl w:val="0"/>
              </w:rPr>
              <w:t xml:space="preserve">M4DAI×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C">
            <w:pPr>
              <w:spacing w:line="240" w:lineRule="auto"/>
              <w:jc w:val="center"/>
              <w:rPr/>
            </w:pPr>
            <w:r>
              <w:rPr>
                <w:rFonts w:ascii="Times New Roman" w:cs="Times New Roman" w:eastAsia="Times New Roman" w:hAnsi="Times New Roman"/>
                <w:b w:val="1"/>
                <w:bCs w:val="1"/>
                <w:sz w:val="16"/>
                <w:szCs w:val="16"/>
                <w:rtl w:val="0"/>
              </w:rPr>
              <w:t xml:space="preserve">M8Full</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D">
            <w:pPr>
              <w:spacing w:line="240" w:lineRule="auto"/>
              <w:jc w:val="left"/>
              <w:rPr/>
            </w:pPr>
            <w:r>
              <w:rPr>
                <w:rFonts w:ascii="Times New Roman" w:cs="Times New Roman" w:eastAsia="Times New Roman" w:hAnsi="Times New Roman"/>
                <w:b w:val="1"/>
                <w:bCs w:val="1"/>
                <w:sz w:val="16"/>
                <w:szCs w:val="16"/>
                <w:rtl w:val="0"/>
              </w:rPr>
              <w:t xml:space="preserve">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+2.652***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+2.165**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+2.322***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+1.952**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+2.768***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+2.409**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(0.691)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(0.699)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(0.701)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(0.750)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(0.748)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D">
            <w:pPr>
              <w:spacing w:line="240" w:lineRule="auto"/>
              <w:jc w:val="left"/>
              <w:rPr/>
            </w:pPr>
            <w:r>
              <w:rPr>
                <w:rFonts w:ascii="Times New Roman" w:cs="Times New Roman" w:eastAsia="Times New Roman" w:hAnsi="Times New Roman"/>
                <w:b w:val="1"/>
                <w:bCs w:val="1"/>
                <w:sz w:val="16"/>
                <w:szCs w:val="16"/>
                <w:rtl w:val="0"/>
              </w:rPr>
              <w:t xml:space="preserve">FSTS²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-1.705†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-1.389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-0.965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-2.959**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-2.543*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(0.931)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(0.940)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(0.928)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(0.938)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(1.012)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(1.045)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D">
            <w:pPr>
              <w:spacing w:line="240" w:lineRule="auto"/>
              <w:jc w:val="left"/>
              <w:rPr/>
            </w:pPr>
            <w:r>
              <w:rPr>
                <w:rFonts w:ascii="Times New Roman" w:cs="Times New Roman" w:eastAsia="Times New Roman" w:hAnsi="Times New Roman"/>
                <w:b w:val="1"/>
                <w:bCs w:val="1"/>
                <w:sz w:val="16"/>
                <w:szCs w:val="16"/>
                <w:rtl w:val="0"/>
              </w:rPr>
              <w:t xml:space="preserve">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+0.153***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+0.153***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D">
            <w:pPr>
              <w:spacing w:line="240" w:lineRule="auto"/>
              <w:jc w:val="left"/>
              <w:rPr/>
            </w:pPr>
            <w:r>
              <w:rPr>
                <w:rFonts w:ascii="Times New Roman" w:cs="Times New Roman" w:eastAsia="Times New Roman" w:hAnsi="Times New Roman"/>
                <w:b w:val="1"/>
                <w:bCs w:val="1"/>
                <w:sz w:val="16"/>
                <w:szCs w:val="16"/>
                <w:rtl w:val="0"/>
              </w:rPr>
              <w:t xml:space="preserve">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+0.104**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(0.038)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(0.038)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D">
            <w:pPr>
              <w:spacing w:line="240" w:lineRule="auto"/>
              <w:jc w:val="left"/>
              <w:rPr/>
            </w:pPr>
            <w:r>
              <w:rPr>
                <w:rFonts w:ascii="Times New Roman" w:cs="Times New Roman" w:eastAsia="Times New Roman" w:hAnsi="Times New Roman"/>
                <w:b w:val="1"/>
                <w:bCs w:val="1"/>
                <w:sz w:val="16"/>
                <w:szCs w:val="16"/>
                <w:rtl w:val="0"/>
              </w:rPr>
              <w:t xml:space="preserve">FSTS × DAI</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-1.144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-1.167†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(0.702)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(0.686)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D">
            <w:pPr>
              <w:spacing w:line="240" w:lineRule="auto"/>
              <w:jc w:val="left"/>
              <w:rPr/>
            </w:pPr>
            <w:r>
              <w:rPr>
                <w:rFonts w:ascii="Times New Roman" w:cs="Times New Roman" w:eastAsia="Times New Roman" w:hAnsi="Times New Roman"/>
                <w:b w:val="1"/>
                <w:bCs w:val="1"/>
                <w:sz w:val="16"/>
                <w:szCs w:val="16"/>
                <w:rtl w:val="0"/>
              </w:rPr>
              <w:t xml:space="preserve">FSTS² × DAI</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+3.098**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+3.119**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(1.088)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(1.124)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D">
            <w:pPr>
              <w:spacing w:line="240" w:lineRule="auto"/>
              <w:jc w:val="left"/>
              <w:rPr/>
            </w:pPr>
            <w:r>
              <w:rPr>
                <w:rFonts w:ascii="Times New Roman" w:cs="Times New Roman" w:eastAsia="Times New Roman" w:hAnsi="Times New Roman"/>
                <w:b w:val="1"/>
                <w:bCs w:val="1"/>
                <w:sz w:val="16"/>
                <w:szCs w:val="16"/>
                <w:rtl w:val="0"/>
              </w:rPr>
              <w:t xml:space="preserve">Firm size (ln)</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-0.135***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-0.168***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5">
            <w:pPr>
              <w:spacing w:line="240" w:lineRule="auto"/>
              <w:jc w:val="left"/>
              <w:rPr/>
            </w:pPr>
            <w:r>
              <w:rPr>
                <w:rFonts w:ascii="Times New Roman" w:cs="Times New Roman" w:eastAsia="Times New Roman" w:hAnsi="Times New Roman"/>
                <w:b w:val="1"/>
                <w:bCs w:val="1"/>
                <w:sz w:val="16"/>
                <w:szCs w:val="16"/>
                <w:rtl w:val="0"/>
              </w:rPr>
              <w:t xml:space="preserve">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D">
            <w:pPr>
              <w:spacing w:line="240" w:lineRule="auto"/>
              <w:jc w:val="left"/>
              <w:rPr/>
            </w:pPr>
            <w:r>
              <w:rPr>
                <w:rFonts w:ascii="Times New Roman" w:cs="Times New Roman" w:eastAsia="Times New Roman" w:hAnsi="Times New Roman"/>
                <w:b w:val="1"/>
                <w:bCs w:val="1"/>
                <w:sz w:val="16"/>
                <w:szCs w:val="16"/>
                <w:rtl w:val="0"/>
              </w:rPr>
              <w:t xml:space="preserve">Foreign-owned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+0.407***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+0.293***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+0.294**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+0.298***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+0.284**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5">
            <w:pPr>
              <w:spacing w:line="240" w:lineRule="auto"/>
              <w:jc w:val="left"/>
              <w:rPr/>
            </w:pPr>
            <w:r>
              <w:rPr>
                <w:rFonts w:ascii="Times New Roman" w:cs="Times New Roman" w:eastAsia="Times New Roman" w:hAnsi="Times New Roman"/>
                <w:b w:val="1"/>
                <w:bCs w:val="1"/>
                <w:sz w:val="16"/>
                <w:szCs w:val="16"/>
                <w:rtl w:val="0"/>
              </w:rPr>
              <w:t xml:space="preserve">Sector FE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D">
            <w:pPr>
              <w:spacing w:line="240" w:lineRule="auto"/>
              <w:jc w:val="left"/>
              <w:rPr/>
            </w:pPr>
            <w:r>
              <w:rPr>
                <w:rFonts w:ascii="Times New Roman" w:cs="Times New Roman" w:eastAsia="Times New Roman" w:hAnsi="Times New Roman"/>
                <w:b w:val="1"/>
                <w:bCs w:val="1"/>
                <w:sz w:val="16"/>
                <w:szCs w:val="16"/>
                <w:rtl w:val="0"/>
              </w:rPr>
              <w:t xml:space="preserve">Constant</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+10.958***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+11.157***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+11.345***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+11.199***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+11.361***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+11.190***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+11.353***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5">
            <w:pPr>
              <w:spacing w:line="240" w:lineRule="auto"/>
              <w:jc w:val="left"/>
              <w:rPr/>
            </w:pPr>
            <w:r>
              <w:rPr>
                <w:rFonts w:ascii="Times New Roman" w:cs="Times New Roman" w:eastAsia="Times New Roman" w:hAnsi="Times New Roman"/>
                <w:b w:val="1"/>
                <w:bCs w:val="1"/>
                <w:sz w:val="16"/>
                <w:szCs w:val="16"/>
                <w:rtl w:val="0"/>
              </w:rPr>
              <w:t xml:space="preserve">N</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623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623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623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D">
            <w:pPr>
              <w:spacing w:line="240" w:lineRule="auto"/>
              <w:jc w:val="left"/>
              <w:rPr/>
            </w:pPr>
            <w:r>
              <w:rPr>
                <w:rFonts w:ascii="Times New Roman" w:cs="Times New Roman" w:eastAsia="Times New Roman" w:hAnsi="Times New Roman"/>
                <w:b w:val="1"/>
                <w:bCs w:val="1"/>
                <w:sz w:val="16"/>
                <w:szCs w:val="16"/>
                <w:rtl w:val="0"/>
              </w:rPr>
              <w:t xml:space="preserve">R²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0.202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0.211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5">
            <w:pPr>
              <w:spacing w:line="240" w:lineRule="auto"/>
              <w:jc w:val="left"/>
              <w:rPr/>
            </w:pPr>
            <w:r>
              <w:rPr>
                <w:rFonts w:ascii="Times New Roman" w:cs="Times New Roman" w:eastAsia="Times New Roman" w:hAnsi="Times New Roman"/>
                <w:b w:val="1"/>
                <w:bCs w:val="1"/>
                <w:sz w:val="16"/>
                <w:szCs w:val="16"/>
                <w:rtl w:val="0"/>
              </w:rPr>
              <w:t xml:space="preserve">Adj. R²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0.196</w:t>
            </w:r>
          </w:p>
        </w:tc>
      </w:tr>
    </w:tbl>
    <w:p w:rsidR="00000000" w:rsidDel="00000000" w:rsidP="00000000" w:rsidRDefault="00000000" w:rsidRPr="00000000" w14:paraId="0000017D">
      <w:pPr>
        <w:spacing w:after="60" w:line="480" w:lineRule="auto"/>
        <w:jc w:val="left"/>
        <w:rPr/>
      </w:pPr>
      <w:r>
        <w:rPr>
          <w:rtl w:val="0"/>
        </w:rPr>
      </w:r>
    </w:p>
    <w:p w:rsidR="00000000" w:rsidDel="00000000" w:rsidP="00000000" w:rsidRDefault="00000000" w:rsidRPr="00000000" w14:paraId="0000017E">
      <w:pPr>
        <w:spacing w:after="240" w:line="480" w:lineRule="auto"/>
        <w:jc w:val="left"/>
        <w:rPr/>
      </w:pPr>
      <w:r>
        <w:rPr>
          <w:rFonts w:ascii="Times New Roman" w:cs="Times New Roman" w:eastAsia="Times New Roman" w:hAnsi="Times New Roman"/>
          <w:i w:val="1"/>
          <w:iCs w:val="1"/>
          <w:sz w:val="16"/>
          <w:szCs w:val="16"/>
          <w:rtl w:val="0"/>
        </w:rPr>
        <w:t>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rPr>
          <w:rtl w:val="0"/>
        </w:rPr>
      </w:r>
    </w:p>
    <w:p w:rsidR="00000000" w:rsidDel="00000000" w:rsidP="00000000" w:rsidRDefault="00000000" w:rsidRPr="00000000" w14:paraId="0000017F">
      <w:pPr>
        <w:spacing w:after="0" w:line="480" w:lineRule="auto"/>
        <w:ind w:firstLine="720"/>
        <w:jc w:val="both"/>
        <w:rPr/>
      </w:pPr>
      <w:r>
        <w:rPr>
          <w:rFonts w:ascii="Times New Roman" w:cs="Times New Roman" w:eastAsia="Times New Roman" w:hAnsi="Times New Roman"/>
          <w:sz w:val="20"/>
          <w:szCs w:val="20"/>
          <w:rtl w:val="0"/>
        </w:rPr>
        <w:t>Table 2 reports the main hierarchical regression results. The baseline quadratic specification shows a strongly positive linear FSTS term and a marginally negative squared term, indicating that the internationalization–performance relationship is better read as predominantly monotonic positive with mild quadratic curvature rather than as a formally established inverted-U. The direct-effect models further show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shows that the most consequential DAI result is not a large unconditional premium, but a positive quadratic moderation pattern indicating that the relevance of digital adoption becomes more positive as export intensity rises.</w:t>
      </w:r>
      <w:r>
        <w:rPr>
          <w:rtl w:val="0"/>
        </w:rPr>
      </w:r>
    </w:p>
    <w:p w:rsidR="00000000" w:rsidDel="00000000" w:rsidP="00000000" w:rsidRDefault="00000000" w:rsidRPr="00000000" w14:paraId="0000017F">
      <w:pPr>
        <w:spacing w:after="0" w:line="480" w:lineRule="auto"/>
        <w:ind w:firstLine="720"/>
        <w:jc w:val="both"/>
        <w:rPr/>
      </w:pPr>
      <w:r>
        <w:rPr>
          <w:rFonts w:ascii="Times New Roman" w:cs="Times New Roman" w:eastAsia="Times New Roman" w:hAnsi="Times New Roman"/>
          <w:sz w:val="20"/>
          <w:szCs w:val="20"/>
          <w:rtl w:val="0"/>
        </w:rPr>
        <w:t>The strongest evidence for DAI appears in the moderation specifications. In the full model (Model M8), the direct DAI term is small and not statistically significant (β = 0.019, p = .705), the linear interaction with FSTS is negative and marginal (β = −1.177, p = .083), and the quadratic interaction term is positive and statistically significant (β = 3.118, SE = 1.117, p = .005). Model M8 also produces the highest explanatory power among the main specifications, with R² = 0.213 and adjusted R² = 0.199. Read substantively, these estimates indicate that the productivity relevance of digital adoption becomes more positive at higher levels of export intensity, with the clearest signal concentrated in the high-export tail rather than distributed uniformly across the sample.</w:t>
      </w:r>
      <w:r>
        <w:rPr>
          <w:rtl w:val="0"/>
        </w:rPr>
      </w:r>
    </w:p>
    <w:p w:rsidR="00000000" w:rsidDel="00000000" w:rsidP="00000000" w:rsidRDefault="00000000" w:rsidRPr="00000000" w14:paraId="00000180">
      <w:pPr>
        <w:spacing w:after="120" w:line="480" w:lineRule="auto"/>
        <w:jc w:val="left"/>
        <w:rPr/>
      </w:pPr>
      <w:r>
        <w:rPr>
          <w:rFonts w:ascii="Times New Roman" w:cs="Times New Roman" w:eastAsia="Times New Roman" w:hAnsi="Times New Roman"/>
          <w:b w:val="1"/>
          <w:bCs w:val="1"/>
          <w:sz w:val="20"/>
          <w:szCs w:val="20"/>
          <w:rtl w:val="0"/>
        </w:rPr>
        <w:t xml:space="preserve">Table 4. Marginal effects of DAI across selected FSTS levels (from Model M8).</w:t>
      </w:r>
      <w:r>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1">
            <w:pPr>
              <w:spacing w:line="240" w:lineRule="auto"/>
              <w:jc w:val="center"/>
              <w:rPr/>
            </w:pPr>
            <w:r>
              <w:rPr>
                <w:rFonts w:ascii="Times New Roman" w:cs="Times New Roman" w:eastAsia="Times New Roman" w:hAnsi="Times New Roman"/>
                <w:b w:val="1"/>
                <w:bCs w:val="1"/>
                <w:sz w:val="16"/>
                <w:szCs w:val="16"/>
                <w:rtl w:val="0"/>
              </w:rPr>
              <w:t xml:space="preserve">FSTS level</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2">
            <w:pPr>
              <w:spacing w:line="240" w:lineRule="auto"/>
              <w:jc w:val="center"/>
              <w:rPr/>
            </w:pPr>
            <w:r>
              <w:rPr>
                <w:rFonts w:ascii="Times New Roman" w:cs="Times New Roman" w:eastAsia="Times New Roman" w:hAnsi="Times New Roman"/>
                <w:b w:val="1"/>
                <w:bCs w:val="1"/>
                <w:sz w:val="16"/>
                <w:szCs w:val="16"/>
                <w:rtl w:val="0"/>
              </w:rPr>
              <w:t xml:space="preserve">Marginal effect of 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3">
            <w:pPr>
              <w:spacing w:line="240" w:lineRule="auto"/>
              <w:jc w:val="center"/>
              <w:rPr/>
            </w:pPr>
            <w:r>
              <w:rPr>
                <w:rFonts w:ascii="Times New Roman" w:cs="Times New Roman" w:eastAsia="Times New Roman" w:hAnsi="Times New Roman"/>
                <w:b w:val="1"/>
                <w:bCs w:val="1"/>
                <w:sz w:val="16"/>
                <w:szCs w:val="16"/>
                <w:rtl w:val="0"/>
              </w:rPr>
              <w:t xml:space="preserve">SE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4">
            <w:pPr>
              <w:spacing w:line="240" w:lineRule="auto"/>
              <w:jc w:val="center"/>
              <w:rPr/>
            </w:pPr>
            <w:r>
              <w:rPr>
                <w:rFonts w:ascii="Times New Roman" w:cs="Times New Roman" w:eastAsia="Times New Roman" w:hAnsi="Times New Roman"/>
                <w:b w:val="1"/>
                <w:bCs w:val="1"/>
                <w:sz w:val="16"/>
                <w:szCs w:val="16"/>
                <w:rtl w:val="0"/>
              </w:rPr>
              <w:t xml:space="preserve">p-value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5">
            <w:pPr>
              <w:spacing w:line="240" w:lineRule="auto"/>
              <w:jc w:val="center"/>
              <w:rPr/>
            </w:pPr>
            <w:r>
              <w:rPr>
                <w:rFonts w:ascii="Times New Roman" w:cs="Times New Roman" w:eastAsia="Times New Roman" w:hAnsi="Times New Roman"/>
                <w:b w:val="1"/>
                <w:bCs w:val="1"/>
                <w:sz w:val="16"/>
                <w:szCs w:val="16"/>
                <w:rtl w:val="0"/>
              </w:rPr>
              <w:t xml:space="preserve">95% CI</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6">
            <w:pPr>
              <w:spacing w:line="240" w:lineRule="auto"/>
              <w:jc w:val="left"/>
              <w:rPr/>
            </w:pPr>
            <w:r>
              <w:rPr>
                <w:rFonts w:ascii="Times New Roman" w:cs="Times New Roman" w:eastAsia="Times New Roman" w:hAnsi="Times New Roman"/>
                <w:b w:val="0"/>
                <w:bCs w:val="0"/>
                <w:sz w:val="16"/>
                <w:szCs w:val="16"/>
                <w:rtl w:val="0"/>
              </w:rPr>
              <w:t xml:space="preserve">FSTS = 0% (domestic)</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+0.080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[+0.002, +0.158]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B">
            <w:pPr>
              <w:spacing w:line="240" w:lineRule="auto"/>
              <w:jc w:val="left"/>
              <w:rPr/>
            </w:pPr>
            <w:r>
              <w:rPr>
                <w:rFonts w:ascii="Times New Roman" w:cs="Times New Roman" w:eastAsia="Times New Roman" w:hAnsi="Times New Roman"/>
                <w:b w:val="0"/>
                <w:bCs w:val="0"/>
                <w:sz w:val="16"/>
                <w:szCs w:val="16"/>
                <w:rtl w:val="0"/>
              </w:rPr>
              <w:t xml:space="preserve">FSTS = 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.752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[-0.077, +0.106]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0">
            <w:pPr>
              <w:spacing w:line="240" w:lineRule="auto"/>
              <w:jc w:val="left"/>
              <w:rPr/>
            </w:pPr>
            <w:r>
              <w:rPr>
                <w:rFonts w:ascii="Times New Roman" w:cs="Times New Roman" w:eastAsia="Times New Roman" w:hAnsi="Times New Roman"/>
                <w:b w:val="1"/>
                <w:bCs w:val="1"/>
                <w:sz w:val="16"/>
                <w:szCs w:val="16"/>
                <w:rtl w:val="0"/>
              </w:rPr>
              <w:t xml:space="preserve">FSTS = 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-0.035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0.069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[-0.170, +0.101]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5">
            <w:pPr>
              <w:spacing w:line="240" w:lineRule="auto"/>
              <w:jc w:val="left"/>
              <w:rPr/>
            </w:pPr>
            <w:r>
              <w:rPr>
                <w:rFonts w:ascii="Times New Roman" w:cs="Times New Roman" w:eastAsia="Times New Roman" w:hAnsi="Times New Roman"/>
                <w:b w:val="0"/>
                <w:bCs w:val="0"/>
                <w:sz w:val="16"/>
                <w:szCs w:val="16"/>
                <w:rtl w:val="0"/>
              </w:rPr>
              <w:t xml:space="preserve">FSTS = 15%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-0.069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0.093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.459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[-0.250, +0.113]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A">
            <w:pPr>
              <w:spacing w:line="240" w:lineRule="auto"/>
              <w:jc w:val="left"/>
              <w:rPr/>
            </w:pPr>
            <w:r>
              <w:rPr>
                <w:rFonts w:ascii="Times New Roman" w:cs="Times New Roman" w:eastAsia="Times New Roman" w:hAnsi="Times New Roman"/>
                <w:b w:val="0"/>
                <w:bCs w:val="0"/>
                <w:sz w:val="16"/>
                <w:szCs w:val="16"/>
                <w:rtl w:val="0"/>
              </w:rPr>
              <w:t xml:space="preserve">FSTS = 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-0.087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0.113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.444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[-0.309, +0.135]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F">
            <w:pPr>
              <w:spacing w:line="240" w:lineRule="auto"/>
              <w:jc w:val="left"/>
              <w:rPr/>
            </w:pPr>
            <w:r>
              <w:rPr>
                <w:rFonts w:ascii="Times New Roman" w:cs="Times New Roman" w:eastAsia="Times New Roman" w:hAnsi="Times New Roman"/>
                <w:b w:val="1"/>
                <w:bCs w:val="1"/>
                <w:sz w:val="16"/>
                <w:szCs w:val="16"/>
                <w:rtl w:val="0"/>
              </w:rPr>
              <w:t xml:space="preserve">FSTS = 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.598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[-0.361, +0.208]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4">
            <w:pPr>
              <w:spacing w:line="240" w:lineRule="auto"/>
              <w:jc w:val="left"/>
              <w:rPr/>
            </w:pPr>
            <w:r>
              <w:rPr>
                <w:rFonts w:ascii="Times New Roman" w:cs="Times New Roman" w:eastAsia="Times New Roman" w:hAnsi="Times New Roman"/>
                <w:b w:val="1"/>
                <w:bCs w:val="1"/>
                <w:sz w:val="16"/>
                <w:szCs w:val="16"/>
                <w:rtl w:val="0"/>
              </w:rPr>
              <w:t xml:space="preserve">FSTS = 50%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+0.131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.481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[-0.234, +0.496]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9">
            <w:pPr>
              <w:spacing w:line="240" w:lineRule="auto"/>
              <w:jc w:val="left"/>
              <w:rPr/>
            </w:pPr>
            <w:r>
              <w:rPr>
                <w:rFonts w:ascii="Times New Roman" w:cs="Times New Roman" w:eastAsia="Times New Roman" w:hAnsi="Times New Roman"/>
                <w:b w:val="1"/>
                <w:bCs w:val="1"/>
                <w:sz w:val="16"/>
                <w:szCs w:val="16"/>
                <w:rtl w:val="0"/>
              </w:rPr>
              <w:t xml:space="preserve">FSTS = 70%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+0.588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0.262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[+0.074, +1.102]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E">
            <w:pPr>
              <w:spacing w:line="240" w:lineRule="auto"/>
              <w:jc w:val="left"/>
              <w:rPr/>
            </w:pPr>
            <w:r>
              <w:rPr>
                <w:rFonts w:ascii="Times New Roman" w:cs="Times New Roman" w:eastAsia="Times New Roman" w:hAnsi="Times New Roman"/>
                <w:b w:val="1"/>
                <w:bCs w:val="1"/>
                <w:sz w:val="16"/>
                <w:szCs w:val="16"/>
                <w:rtl w:val="0"/>
              </w:rPr>
              <w:t xml:space="preserve">FSTS = 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+1.742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0.573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[+0.618, +2.865]</w:t>
            </w:r>
          </w:p>
        </w:tc>
      </w:tr>
    </w:tbl>
    <w:p w:rsidR="00000000" w:rsidDel="00000000" w:rsidP="00000000" w:rsidRDefault="00000000" w:rsidRPr="00000000" w14:paraId="000001B3">
      <w:pPr>
        <w:spacing w:after="60" w:line="480" w:lineRule="auto"/>
        <w:jc w:val="left"/>
        <w:rPr/>
      </w:pPr>
      <w:r>
        <w:rPr>
          <w:rtl w:val="0"/>
        </w:rPr>
      </w:r>
    </w:p>
    <w:p w:rsidR="00000000" w:rsidDel="00000000" w:rsidP="00000000" w:rsidRDefault="00000000" w:rsidRPr="00000000" w14:paraId="000001B4">
      <w:pPr>
        <w:spacing w:after="240" w:line="480" w:lineRule="auto"/>
        <w:jc w:val="left"/>
        <w:rPr/>
      </w:pPr>
      <w:r>
        <w:rPr>
          <w:rFonts w:ascii="Times New Roman" w:cs="Times New Roman" w:eastAsia="Times New Roman" w:hAnsi="Times New Roman"/>
          <w:i w:val="1"/>
          <w:iCs w:val="1"/>
          <w:sz w:val="16"/>
          <w:szCs w:val="16"/>
          <w:rtl w:val="0"/>
        </w:rPr>
        <w:t>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Table 4 and Figure 2 translate the interaction estimates from Model M8 into substantively interpretable marginal effects across the export-intensity distribution. Across domestic, low-export, and much of the middle export range, the marginal effect of DAI is small and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0.588 at FSTS 70 and 1.742 at FSTS 100. This pattern supports the interpretation of DAI as a scale-enabling complement whose productivity relevance emerges more clearly when firms face denser cross-border coordination and transaction demands.</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The manuscript should therefore state the DAI finding in conditional terms. In Singapore’s digitally mature setting, foundational digital adoption appears to function less as a universal productivity lever and more as a scale-enabling complement for firms facing denser cross-border coordination demands. That interpretation is also fully consistent with the construct boundary established earlier, because the observed effect concerns Tier 1–2 digital adoption rather than deeper digitally integrated organizational capability.</w:t>
      </w:r>
      <w:r>
        <w:rPr>
          <w:rtl w:val="0"/>
        </w:rPr>
      </w:r>
    </w:p>
    <w:p w:rsidR="00000000" w:rsidDel="00000000" w:rsidP="00000000" w:rsidRDefault="00000000" w:rsidRPr="00000000" w14:paraId="000001B6">
      <w:pPr>
        <w:spacing w:after="240" w:line="280" w:lineRule="auto"/>
        <w:jc w:val="center"/>
        <w:rPr/>
      </w:pPr>
      <w:r>
        <w:rPr>
          <w:rFonts w:ascii="Times New Roman" w:cs="Times New Roman" w:eastAsia="Times New Roman" w:hAnsi="Times New Roman"/>
          <w:i w:val="1"/>
          <w:iCs w:val="1"/>
          <w:sz w:val="18"/>
          <w:szCs w:val="18"/>
          <w:rtl w:val="0"/>
        </w:rPr>
        <w:t>Figure 2. 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rPr>
          <w:rtl w:val="0"/>
        </w:rPr>
      </w:r>
    </w:p>
    <w:p w:rsidR="00000000" w:rsidDel="00000000" w:rsidP="00000000" w:rsidRDefault="00000000" w:rsidRPr="00000000" w14:paraId="000001B7">
      <w:pPr>
        <w:spacing w:after="240" w:line="280" w:lineRule="auto"/>
        <w:jc w:val="center"/>
        <w:rPr/>
      </w:pPr>
      <w:r>
        <w:rPr>
          <w:rFonts w:ascii="Times New Roman" w:cs="Times New Roman" w:eastAsia="Times New Roman" w:hAnsi="Times New Roman"/>
          <w:i w:val="1"/>
          <w:iCs w:val="1"/>
          <w:sz w:val="18"/>
          <w:szCs w:val="18"/>
          <w:rtl w:val="0"/>
        </w:rPr>
        <w:t>Figure 3. Predicted internationalization–performance curve. Predicted relationship between export intensity and labour productivity with 95% confidence bands from the canonical quadratic specification (M2). The implied turning point occurs near FSTS = 82% on the original scale,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Figure 3 visualizes the baseline quadratic fit between export intensity and labour productivity. The fitted curve implies a turning point near FSTS 82%, but the point estimate is loosely identified — its 95% percentile bootstrap confidence interval spans [53%, 253%] — and lies in a sparsely populated upper tail of the sample. The Lind–Mehlum test does not formally confirm a conventional inverted-U at conventional significance levels. The appropriate interpretation is therefore not that the classic nonlinear literature is overturned, but that in this extreme-case Singapore setting the right-side decline of the curve appears attenuated or shifted beyond the export range occupied by most firms in the data.</w:t>
      </w:r>
      <w:r>
        <w:rPr>
          <w:rtl w:val="0"/>
        </w:rPr>
      </w:r>
    </w:p>
    <w:p w:rsidR="00000000" w:rsidDel="00000000" w:rsidP="00000000" w:rsidRDefault="00000000" w:rsidRPr="00000000" w14:paraId="000001B8">
      <w:pPr>
        <w:spacing w:after="160" w:before="280" w:lineRule="auto"/>
        <w:jc w:val="left"/>
        <w:rPr/>
      </w:pPr>
      <w:r>
        <w:rPr>
          <w:rFonts w:ascii="Times New Roman" w:cs="Times New Roman" w:eastAsia="Times New Roman" w:hAnsi="Times New Roman"/>
          <w:b w:val="1"/>
          <w:bCs w:val="1"/>
          <w:sz w:val="22"/>
          <w:szCs w:val="22"/>
          <w:rtl w:val="0"/>
        </w:rPr>
        <w:t xml:space="preserve">4.5 Robustness checks</w:t>
      </w:r>
      <w:r>
        <w:rPr>
          <w:rtl w:val="0"/>
        </w:rPr>
      </w:r>
    </w:p>
    <w:p w:rsidR="00000000" w:rsidDel="00000000" w:rsidP="00000000" w:rsidRDefault="00000000" w:rsidRPr="00000000" w14:paraId="000001B9">
      <w:pPr>
        <w:spacing w:after="0" w:line="480" w:lineRule="auto"/>
        <w:ind w:firstLine="720"/>
        <w:jc w:val="both"/>
        <w:rPr/>
      </w:pPr>
      <w:r>
        <w:rPr>
          <w:rFonts w:ascii="Times New Roman" w:cs="Times New Roman" w:eastAsia="Times New Roman" w:hAnsi="Times New Roman"/>
          <w:sz w:val="20"/>
          <w:szCs w:val="20"/>
          <w:rtl w:val="0"/>
        </w:rPr>
        <w:t>The robustness analysis shows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rPr>
          <w:rtl w:val="0"/>
        </w:rPr>
      </w:r>
    </w:p>
    <w:p w:rsidR="00000000" w:rsidDel="00000000" w:rsidP="00000000" w:rsidRDefault="00000000" w:rsidRPr="00000000" w14:paraId="000001BA">
      <w:pPr>
        <w:spacing w:after="0" w:line="480" w:lineRule="auto"/>
        <w:ind w:firstLine="720"/>
        <w:jc w:val="both"/>
        <w:rPr/>
      </w:pPr>
      <w:r>
        <w:rPr>
          <w:rFonts w:ascii="Cardo" w:cs="Cardo" w:eastAsia="Cardo" w:hAnsi="Cardo"/>
          <w:sz w:val="20"/>
          <w:szCs w:val="20"/>
          <w:rtl w:val="0"/>
        </w:rPr>
        <w:t>When DAI is reduced to a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w:t>
      </w:r>
      <w:r>
        <w:rPr>
          <w:rtl w:val="0"/>
        </w:rPr>
      </w:r>
      <w:r>
        <w:rPr>
          <w:rFonts w:ascii="Times New Roman" w:hAnsi="Times New Roman"/>
          <w:sz w:val="22"/>
        </w:rPr>
      </w:r>
    </w:p>
    <w:p w:rsidR="00000000" w:rsidDel="00000000" w:rsidP="00000000" w:rsidRDefault="00000000" w:rsidRPr="00000000" w14:paraId="000001BA">
      <w:pPr>
        <w:spacing w:after="0" w:line="480" w:lineRule="auto"/>
        <w:ind w:firstLine="720"/>
        <w:jc w:val="both"/>
        <w:rPr/>
      </w:pPr>
      <w:r>
        <w:rPr>
          <w:rFonts w:ascii="Cardo" w:cs="Cardo" w:eastAsia="Cardo" w:hAnsi="Cardo"/>
          <w:sz w:val="20"/>
          <w:szCs w:val="20"/>
          <w:rtl w:val="0"/>
        </w:rPr>
        <w:t>The effect sizes reported in the manuscript reinforce a cautious interpretation. The TCI direct effect is in the small-to-medium range, while the DAI moderation block is statistically detectable but substantively modest, which is typical for interaction effects in organizational research. Taken together, the strongest empirical claim of Section 4 is therefore not that digital adoption yields a large average productivity premium, but that its association with productivity becomes more positive as export intensity rises in a digitally mature setting.</w:t>
      </w:r>
      <w:r>
        <w:rPr>
          <w:rtl w:val="0"/>
        </w:rPr>
      </w:r>
      <w:r>
        <w:rPr>
          <w:rFonts w:ascii="Times New Roman" w:hAnsi="Times New Roman"/>
          <w:sz w:val="22"/>
        </w:rPr>
      </w:r>
    </w:p>
    <w:p w:rsidR="00000000" w:rsidDel="00000000" w:rsidP="00000000" w:rsidRDefault="00000000" w:rsidRPr="00000000" w14:paraId="000001BB">
      <w:pPr>
        <w:spacing w:after="60" w:line="480" w:lineRule="auto"/>
        <w:jc w:val="left"/>
        <w:rPr/>
      </w:pPr>
      <w:r>
        <w:rPr>
          <w:rFonts w:ascii="Times New Roman" w:cs="Times New Roman" w:eastAsia="Times New Roman" w:hAnsi="Times New Roman"/>
          <w:b w:val="1"/>
          <w:bCs w:val="1"/>
          <w:sz w:val="20"/>
          <w:szCs w:val="20"/>
          <w:rtl w:val="0"/>
        </w:rPr>
        <w:t xml:space="preserve">Table 3. Robustness checks for primary findings (six specifications).</w:t>
      </w:r>
      <w:r>
        <w:rPr>
          <w:rtl w:val="0"/>
        </w:rPr>
      </w:r>
    </w:p>
    <w:p w:rsidR="00000000" w:rsidDel="00000000" w:rsidP="00000000" w:rsidRDefault="00000000" w:rsidRPr="00000000" w14:paraId="000001BC">
      <w:pPr>
        <w:spacing w:after="120" w:line="480" w:lineRule="auto"/>
        <w:jc w:val="left"/>
        <w:rPr/>
      </w:pPr>
      <w:r>
        <w:rPr>
          <w:rFonts w:ascii="Times New Roman" w:cs="Times New Roman" w:eastAsia="Times New Roman" w:hAnsi="Times New Roman"/>
          <w:i w:val="1"/>
          <w:iCs w:val="1"/>
          <w:sz w:val="16"/>
          <w:szCs w:val="16"/>
          <w:rtl w:val="0"/>
        </w:rPr>
        <w:t xml:space="preserve">DV: Ln(Labour Productivity). HC1 robust standard errors. Each row reports a separate full-specification regression with controls.</w:t>
      </w:r>
      <w:r>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0"/>
        <w:gridCol w:w="1300"/>
        <w:gridCol w:w="1300"/>
        <w:gridCol w:w="1500"/>
        <w:gridCol w:w="900"/>
        <w:tblGridChange w:id="0">
          <w:tblGrid>
            <w:gridCol w:w="2700"/>
            <w:gridCol w:w="800"/>
            <w:gridCol w:w="1300"/>
            <w:gridCol w:w="1300"/>
            <w:gridCol w:w="15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D">
            <w:pPr>
              <w:spacing w:line="240" w:lineRule="auto"/>
              <w:jc w:val="left"/>
              <w:rPr/>
            </w:pPr>
            <w:r>
              <w:rPr>
                <w:rFonts w:ascii="Times New Roman" w:cs="Times New Roman" w:eastAsia="Times New Roman" w:hAnsi="Times New Roman"/>
                <w:b w:val="1"/>
                <w:bCs w:val="1"/>
                <w:sz w:val="16"/>
                <w:szCs w:val="16"/>
                <w:rtl w:val="0"/>
              </w:rPr>
              <w:t xml:space="preserve">Specification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E">
            <w:pPr>
              <w:spacing w:line="240" w:lineRule="auto"/>
              <w:jc w:val="center"/>
              <w:rPr/>
            </w:pPr>
            <w:r>
              <w:rPr>
                <w:rFonts w:ascii="Times New Roman" w:cs="Times New Roman" w:eastAsia="Times New Roman" w:hAnsi="Times New Roman"/>
                <w:b w:val="1"/>
                <w:bCs w:val="1"/>
                <w:sz w:val="16"/>
                <w:szCs w:val="16"/>
                <w:rtl w:val="0"/>
              </w:rPr>
              <w:t xml:space="preserve">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F">
            <w:pPr>
              <w:spacing w:line="240" w:lineRule="auto"/>
              <w:jc w:val="center"/>
              <w:rPr/>
            </w:pPr>
            <w:r>
              <w:rPr>
                <w:rFonts w:ascii="Times New Roman" w:cs="Times New Roman" w:eastAsia="Times New Roman" w:hAnsi="Times New Roman"/>
                <w:b w:val="1"/>
                <w:bCs w:val="1"/>
                <w:sz w:val="16"/>
                <w:szCs w:val="16"/>
                <w:rtl w:val="0"/>
              </w:rPr>
              <w:t xml:space="preserve">TCI β_z</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0">
            <w:pPr>
              <w:spacing w:line="240" w:lineRule="auto"/>
              <w:jc w:val="center"/>
              <w:rPr/>
            </w:pPr>
            <w:r>
              <w:rPr>
                <w:rFonts w:ascii="Times New Roman" w:cs="Times New Roman" w:eastAsia="Times New Roman" w:hAnsi="Times New Roman"/>
                <w:b w:val="1"/>
                <w:bCs w:val="1"/>
                <w:sz w:val="16"/>
                <w:szCs w:val="16"/>
                <w:rtl w:val="0"/>
              </w:rPr>
              <w:t xml:space="preserve">FSTS² × 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1">
            <w:pPr>
              <w:spacing w:line="240" w:lineRule="auto"/>
              <w:jc w:val="center"/>
              <w:rPr/>
            </w:pPr>
            <w:r>
              <w:rPr>
                <w:rFonts w:ascii="Times New Roman" w:cs="Times New Roman" w:eastAsia="Times New Roman" w:hAnsi="Times New Roman"/>
                <w:b w:val="1"/>
                <w:bCs w:val="1"/>
                <w:sz w:val="16"/>
                <w:szCs w:val="16"/>
                <w:rtl w:val="0"/>
              </w:rPr>
              <w:t xml:space="preserve">Joint F (p)</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2">
            <w:pPr>
              <w:spacing w:line="240" w:lineRule="auto"/>
              <w:jc w:val="center"/>
              <w:rPr/>
            </w:pPr>
            <w:r>
              <w:rPr>
                <w:rFonts w:ascii="Times New Roman" w:cs="Times New Roman" w:eastAsia="Times New Roman" w:hAnsi="Times New Roman"/>
                <w:b w:val="1"/>
                <w:bCs w:val="1"/>
                <w:sz w:val="16"/>
                <w:szCs w:val="16"/>
                <w:rtl w:val="0"/>
              </w:rPr>
              <w:t xml:space="preserve">Adj. R²</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3">
            <w:pPr>
              <w:spacing w:line="240" w:lineRule="auto"/>
              <w:jc w:val="left"/>
              <w:rPr/>
            </w:pPr>
            <w:r>
              <w:rPr>
                <w:rFonts w:ascii="Times New Roman" w:cs="Times New Roman" w:eastAsia="Times New Roman" w:hAnsi="Times New Roman"/>
                <w:b w:val="1"/>
                <w:bCs w:val="1"/>
                <w:sz w:val="16"/>
                <w:szCs w:val="16"/>
                <w:rtl w:val="0"/>
              </w:rPr>
              <w:t>Baseline (TCI_full + DAI_rich)</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4">
            <w:pPr>
              <w:spacing w:line="240" w:lineRule="auto"/>
              <w:jc w:val="center"/>
              <w:rPr/>
            </w:pPr>
            <w:r>
              <w:rPr>
                <w:rFonts w:ascii="Times New Roman" w:cs="Times New Roman" w:eastAsia="Times New Roman" w:hAnsi="Times New Roman"/>
                <w:b w:val="0"/>
                <w:bCs w:val="0"/>
                <w:sz w:val="16"/>
                <w:szCs w:val="16"/>
                <w:rtl w:val="0"/>
              </w:rPr>
              <w:t>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5">
            <w:pPr>
              <w:spacing w:line="240" w:lineRule="auto"/>
              <w:jc w:val="center"/>
              <w:rPr/>
            </w:pPr>
            <w:r>
              <w:rPr>
                <w:rFonts w:ascii="Times New Roman" w:cs="Times New Roman" w:eastAsia="Times New Roman" w:hAnsi="Times New Roman"/>
                <w:b w:val="0"/>
                <w:bCs w:val="0"/>
                <w:sz w:val="16"/>
                <w:szCs w:val="16"/>
                <w:rtl w:val="0"/>
              </w:rPr>
              <w:t>0.153***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6">
            <w:pPr>
              <w:spacing w:line="240" w:lineRule="auto"/>
              <w:jc w:val="center"/>
              <w:rPr/>
            </w:pPr>
            <w:r>
              <w:rPr>
                <w:rFonts w:ascii="Times New Roman" w:cs="Times New Roman" w:eastAsia="Times New Roman" w:hAnsi="Times New Roman"/>
                <w:b w:val="0"/>
                <w:bCs w:val="0"/>
                <w:sz w:val="16"/>
                <w:szCs w:val="16"/>
                <w:rtl w:val="0"/>
              </w:rPr>
              <w:t>3.119**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7">
            <w:pPr>
              <w:spacing w:line="240" w:lineRule="auto"/>
              <w:jc w:val="center"/>
              <w:rPr/>
            </w:pPr>
            <w:r>
              <w:rPr>
                <w:rFonts w:ascii="Times New Roman" w:cs="Times New Roman" w:eastAsia="Times New Roman" w:hAnsi="Times New Roman"/>
                <w:b w:val="0"/>
                <w:bCs w:val="0"/>
                <w:sz w:val="16"/>
                <w:szCs w:val="16"/>
                <w:rtl w:val="0"/>
              </w:rPr>
              <w:t>4.56 (.011)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8">
            <w:pPr>
              <w:spacing w:line="240" w:lineRule="auto"/>
              <w:jc w:val="center"/>
              <w:rPr/>
            </w:pPr>
            <w:r>
              <w:rPr>
                <w:rFonts w:ascii="Times New Roman" w:cs="Times New Roman" w:eastAsia="Times New Roman" w:hAnsi="Times New Roman"/>
                <w:b w:val="0"/>
                <w:bCs w:val="0"/>
                <w:sz w:val="16"/>
                <w:szCs w:val="16"/>
                <w:rtl w:val="0"/>
              </w:rPr>
              <w:t>0.196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9">
            <w:pPr>
              <w:spacing w:line="240" w:lineRule="auto"/>
              <w:jc w:val="left"/>
              <w:rPr/>
            </w:pPr>
            <w:r>
              <w:rPr>
                <w:rFonts w:ascii="Times New Roman" w:cs="Times New Roman" w:eastAsia="Times New Roman" w:hAnsi="Times New Roman"/>
                <w:b w:val="0"/>
                <w:bCs w:val="0"/>
                <w:sz w:val="16"/>
                <w:szCs w:val="16"/>
                <w:rtl w:val="0"/>
              </w:rPr>
              <w:t>R1: DAI_thin (website c22b only)</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A">
            <w:pPr>
              <w:spacing w:line="240" w:lineRule="auto"/>
              <w:jc w:val="center"/>
              <w:rPr/>
            </w:pPr>
            <w:r>
              <w:rPr>
                <w:rFonts w:ascii="Times New Roman" w:cs="Times New Roman" w:eastAsia="Times New Roman" w:hAnsi="Times New Roman"/>
                <w:b w:val="0"/>
                <w:bCs w:val="0"/>
                <w:sz w:val="16"/>
                <w:szCs w:val="16"/>
                <w:rtl w:val="0"/>
              </w:rPr>
              <w:t>623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B">
            <w:pPr>
              <w:spacing w:line="240" w:lineRule="auto"/>
              <w:jc w:val="center"/>
              <w:rPr/>
            </w:pPr>
            <w:r>
              <w:rPr>
                <w:rFonts w:ascii="Times New Roman" w:cs="Times New Roman" w:eastAsia="Times New Roman" w:hAnsi="Times New Roman"/>
                <w:b w:val="0"/>
                <w:bCs w:val="0"/>
                <w:sz w:val="16"/>
                <w:szCs w:val="16"/>
                <w:rtl w:val="0"/>
              </w:rPr>
              <w:t>0.180***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C">
            <w:pPr>
              <w:spacing w:line="240" w:lineRule="auto"/>
              <w:jc w:val="center"/>
              <w:rPr/>
            </w:pPr>
            <w:r>
              <w:rPr>
                <w:rFonts w:ascii="Times New Roman" w:cs="Times New Roman" w:eastAsia="Times New Roman" w:hAnsi="Times New Roman"/>
                <w:b w:val="0"/>
                <w:bCs w:val="0"/>
                <w:sz w:val="16"/>
                <w:szCs w:val="16"/>
                <w:rtl w:val="0"/>
              </w:rPr>
              <w:t>1.552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D">
            <w:pPr>
              <w:spacing w:line="240" w:lineRule="auto"/>
              <w:jc w:val="center"/>
              <w:rPr/>
            </w:pPr>
            <w:r>
              <w:rPr>
                <w:rFonts w:ascii="Times New Roman" w:cs="Times New Roman" w:eastAsia="Times New Roman" w:hAnsi="Times New Roman"/>
                <w:b w:val="0"/>
                <w:bCs w:val="0"/>
                <w:sz w:val="16"/>
                <w:szCs w:val="16"/>
                <w:rtl w:val="0"/>
              </w:rPr>
              <w:t>4.01 (.019)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E">
            <w:pPr>
              <w:spacing w:line="240" w:lineRule="auto"/>
              <w:jc w:val="center"/>
              <w:rPr/>
            </w:pPr>
            <w:r>
              <w:rPr>
                <w:rFonts w:ascii="Times New Roman" w:cs="Times New Roman" w:eastAsia="Times New Roman" w:hAnsi="Times New Roman"/>
                <w:b w:val="0"/>
                <w:bCs w:val="0"/>
                <w:sz w:val="16"/>
                <w:szCs w:val="16"/>
                <w:rtl w:val="0"/>
              </w:rPr>
              <w:t>0.188</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F">
            <w:pPr>
              <w:spacing w:line="240" w:lineRule="auto"/>
              <w:jc w:val="left"/>
              <w:rPr/>
            </w:pPr>
            <w:r>
              <w:rPr>
                <w:rFonts w:ascii="Times New Roman" w:cs="Times New Roman" w:eastAsia="Times New Roman" w:hAnsi="Times New Roman"/>
                <w:b w:val="0"/>
                <w:bCs w:val="0"/>
                <w:sz w:val="16"/>
                <w:szCs w:val="16"/>
                <w:rtl w:val="0"/>
              </w:rPr>
              <w:t>R2: TCI_thin (e6 + b8)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0">
            <w:pPr>
              <w:spacing w:line="240" w:lineRule="auto"/>
              <w:jc w:val="center"/>
              <w:rPr/>
            </w:pPr>
            <w:r>
              <w:rPr>
                <w:rFonts w:ascii="Times New Roman" w:cs="Times New Roman" w:eastAsia="Times New Roman" w:hAnsi="Times New Roman"/>
                <w:b w:val="0"/>
                <w:bCs w:val="0"/>
                <w:sz w:val="16"/>
                <w:szCs w:val="16"/>
                <w:rtl w:val="0"/>
              </w:rPr>
              <w:t>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1">
            <w:pPr>
              <w:spacing w:line="240" w:lineRule="auto"/>
              <w:jc w:val="center"/>
              <w:rPr/>
            </w:pPr>
            <w:r>
              <w:rPr>
                <w:rFonts w:ascii="Times New Roman" w:cs="Times New Roman" w:eastAsia="Times New Roman" w:hAnsi="Times New Roman"/>
                <w:b w:val="0"/>
                <w:bCs w:val="0"/>
                <w:sz w:val="16"/>
                <w:szCs w:val="16"/>
                <w:rtl w:val="0"/>
              </w:rPr>
              <w:t>0.159***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2">
            <w:pPr>
              <w:spacing w:line="240" w:lineRule="auto"/>
              <w:jc w:val="center"/>
              <w:rPr/>
            </w:pPr>
            <w:r>
              <w:rPr>
                <w:rFonts w:ascii="Times New Roman" w:cs="Times New Roman" w:eastAsia="Times New Roman" w:hAnsi="Times New Roman"/>
                <w:b w:val="0"/>
                <w:bCs w:val="0"/>
                <w:sz w:val="16"/>
                <w:szCs w:val="16"/>
                <w:rtl w:val="0"/>
              </w:rPr>
              <w:t>2.930**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3">
            <w:pPr>
              <w:spacing w:line="240" w:lineRule="auto"/>
              <w:jc w:val="center"/>
              <w:rPr/>
            </w:pPr>
            <w:r>
              <w:rPr>
                <w:rFonts w:ascii="Times New Roman" w:cs="Times New Roman" w:eastAsia="Times New Roman" w:hAnsi="Times New Roman"/>
                <w:b w:val="0"/>
                <w:bCs w:val="0"/>
                <w:sz w:val="16"/>
                <w:szCs w:val="16"/>
                <w:rtl w:val="0"/>
              </w:rPr>
              <w:t>4.27 (.014)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4">
            <w:pPr>
              <w:spacing w:line="240" w:lineRule="auto"/>
              <w:jc w:val="center"/>
              <w:rPr/>
            </w:pPr>
            <w:r>
              <w:rPr>
                <w:rFonts w:ascii="Times New Roman" w:cs="Times New Roman" w:eastAsia="Times New Roman" w:hAnsi="Times New Roman"/>
                <w:b w:val="0"/>
                <w:bCs w:val="0"/>
                <w:sz w:val="16"/>
                <w:szCs w:val="16"/>
                <w:rtl w:val="0"/>
              </w:rPr>
              <w:t>0.199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5">
            <w:pPr>
              <w:spacing w:line="240" w:lineRule="auto"/>
              <w:jc w:val="left"/>
              <w:rPr/>
            </w:pPr>
            <w:r>
              <w:rPr>
                <w:rFonts w:ascii="Times New Roman" w:cs="Times New Roman" w:eastAsia="Times New Roman" w:hAnsi="Times New Roman"/>
                <w:b w:val="0"/>
                <w:bCs w:val="0"/>
                <w:sz w:val="16"/>
                <w:szCs w:val="16"/>
                <w:rtl w:val="0"/>
              </w:rPr>
              <w:t>R3: Excl micro-firms (&lt;10 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6">
            <w:pPr>
              <w:spacing w:line="240" w:lineRule="auto"/>
              <w:jc w:val="center"/>
              <w:rPr/>
            </w:pPr>
            <w:r>
              <w:rPr>
                <w:rFonts w:ascii="Times New Roman" w:cs="Times New Roman" w:eastAsia="Times New Roman" w:hAnsi="Times New Roman"/>
                <w:b w:val="0"/>
                <w:bCs w:val="0"/>
                <w:sz w:val="16"/>
                <w:szCs w:val="16"/>
                <w:rtl w:val="0"/>
              </w:rPr>
              <w:t>464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7">
            <w:pPr>
              <w:spacing w:line="240" w:lineRule="auto"/>
              <w:jc w:val="center"/>
              <w:rPr/>
            </w:pPr>
            <w:r>
              <w:rPr>
                <w:rFonts w:ascii="Times New Roman" w:cs="Times New Roman" w:eastAsia="Times New Roman" w:hAnsi="Times New Roman"/>
                <w:b w:val="0"/>
                <w:bCs w:val="0"/>
                <w:sz w:val="16"/>
                <w:szCs w:val="16"/>
                <w:rtl w:val="0"/>
              </w:rPr>
              <w:t>0.170***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8">
            <w:pPr>
              <w:spacing w:line="240" w:lineRule="auto"/>
              <w:jc w:val="center"/>
              <w:rPr/>
            </w:pPr>
            <w:r>
              <w:rPr>
                <w:rFonts w:ascii="Times New Roman" w:cs="Times New Roman" w:eastAsia="Times New Roman" w:hAnsi="Times New Roman"/>
                <w:b w:val="0"/>
                <w:bCs w:val="0"/>
                <w:sz w:val="16"/>
                <w:szCs w:val="16"/>
                <w:rtl w:val="0"/>
              </w:rPr>
              <w:t>3.521**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9">
            <w:pPr>
              <w:spacing w:line="240" w:lineRule="auto"/>
              <w:jc w:val="center"/>
              <w:rPr/>
            </w:pPr>
            <w:r>
              <w:rPr>
                <w:rFonts w:ascii="Times New Roman" w:cs="Times New Roman" w:eastAsia="Times New Roman" w:hAnsi="Times New Roman"/>
                <w:b w:val="0"/>
                <w:bCs w:val="0"/>
                <w:sz w:val="16"/>
                <w:szCs w:val="16"/>
                <w:rtl w:val="0"/>
              </w:rPr>
              <w:t>4.61 (.010)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A">
            <w:pPr>
              <w:spacing w:line="240" w:lineRule="auto"/>
              <w:jc w:val="center"/>
              <w:rPr/>
            </w:pPr>
            <w:r>
              <w:rPr>
                <w:rFonts w:ascii="Times New Roman" w:cs="Times New Roman" w:eastAsia="Times New Roman" w:hAnsi="Times New Roman"/>
                <w:b w:val="0"/>
                <w:bCs w:val="0"/>
                <w:sz w:val="16"/>
                <w:szCs w:val="16"/>
                <w:rtl w:val="0"/>
              </w:rPr>
              <w:t>0.219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B">
            <w:pPr>
              <w:spacing w:line="240" w:lineRule="auto"/>
              <w:jc w:val="left"/>
              <w:rPr/>
            </w:pPr>
            <w:r>
              <w:rPr>
                <w:rFonts w:ascii="Gungsuh" w:cs="Gungsuh" w:eastAsia="Gungsuh" w:hAnsi="Gungsuh"/>
                <w:b w:val="0"/>
                <w:bCs w:val="0"/>
                <w:sz w:val="16"/>
                <w:szCs w:val="16"/>
                <w:rtl w:val="0"/>
              </w:rPr>
              <w:t>R4: SMEs only (≤200 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C">
            <w:pPr>
              <w:spacing w:line="240" w:lineRule="auto"/>
              <w:jc w:val="center"/>
              <w:rPr/>
            </w:pPr>
            <w:r>
              <w:rPr>
                <w:rFonts w:ascii="Times New Roman" w:cs="Times New Roman" w:eastAsia="Times New Roman" w:hAnsi="Times New Roman"/>
                <w:b w:val="0"/>
                <w:bCs w:val="0"/>
                <w:sz w:val="16"/>
                <w:szCs w:val="16"/>
                <w:rtl w:val="0"/>
              </w:rPr>
              <w:t>595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D">
            <w:pPr>
              <w:spacing w:line="240" w:lineRule="auto"/>
              <w:jc w:val="center"/>
              <w:rPr/>
            </w:pPr>
            <w:r>
              <w:rPr>
                <w:rFonts w:ascii="Times New Roman" w:cs="Times New Roman" w:eastAsia="Times New Roman" w:hAnsi="Times New Roman"/>
                <w:b w:val="0"/>
                <w:bCs w:val="0"/>
                <w:sz w:val="16"/>
                <w:szCs w:val="16"/>
                <w:rtl w:val="0"/>
              </w:rPr>
              <w:t>0.156***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E">
            <w:pPr>
              <w:spacing w:line="240" w:lineRule="auto"/>
              <w:jc w:val="center"/>
              <w:rPr/>
            </w:pPr>
            <w:r>
              <w:rPr>
                <w:rFonts w:ascii="Times New Roman" w:cs="Times New Roman" w:eastAsia="Times New Roman" w:hAnsi="Times New Roman"/>
                <w:b w:val="0"/>
                <w:bCs w:val="0"/>
                <w:sz w:val="16"/>
                <w:szCs w:val="16"/>
                <w:rtl w:val="0"/>
              </w:rPr>
              <w:t>3.505**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F">
            <w:pPr>
              <w:spacing w:line="240" w:lineRule="auto"/>
              <w:jc w:val="center"/>
              <w:rPr/>
            </w:pPr>
            <w:r>
              <w:rPr>
                <w:rFonts w:ascii="Times New Roman" w:cs="Times New Roman" w:eastAsia="Times New Roman" w:hAnsi="Times New Roman"/>
                <w:b w:val="0"/>
                <w:bCs w:val="0"/>
                <w:sz w:val="16"/>
                <w:szCs w:val="16"/>
                <w:rtl w:val="0"/>
              </w:rPr>
              <w:t>5.30 (.005)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0">
            <w:pPr>
              <w:spacing w:line="240" w:lineRule="auto"/>
              <w:jc w:val="center"/>
              <w:rPr/>
            </w:pPr>
            <w:r>
              <w:rPr>
                <w:rFonts w:ascii="Times New Roman" w:cs="Times New Roman" w:eastAsia="Times New Roman" w:hAnsi="Times New Roman"/>
                <w:b w:val="0"/>
                <w:bCs w:val="0"/>
                <w:sz w:val="16"/>
                <w:szCs w:val="16"/>
                <w:rtl w:val="0"/>
              </w:rPr>
              <w:t>0.199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1">
            <w:pPr>
              <w:spacing w:line="240" w:lineRule="auto"/>
              <w:jc w:val="left"/>
              <w:rPr/>
            </w:pPr>
            <w:r>
              <w:rPr>
                <w:rFonts w:ascii="Times New Roman" w:cs="Times New Roman" w:eastAsia="Times New Roman" w:hAnsi="Times New Roman"/>
                <w:b w:val="0"/>
                <w:bCs w:val="0"/>
                <w:sz w:val="16"/>
                <w:szCs w:val="16"/>
                <w:rtl w:val="0"/>
              </w:rPr>
              <w:t>R5: Exporters only (FSTS &gt; 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2">
            <w:pPr>
              <w:spacing w:line="240" w:lineRule="auto"/>
              <w:jc w:val="center"/>
              <w:rPr/>
            </w:pPr>
            <w:r>
              <w:rPr>
                <w:rFonts w:ascii="Times New Roman" w:cs="Times New Roman" w:eastAsia="Times New Roman" w:hAnsi="Times New Roman"/>
                <w:b w:val="0"/>
                <w:bCs w:val="0"/>
                <w:sz w:val="16"/>
                <w:szCs w:val="16"/>
                <w:rtl w:val="0"/>
              </w:rPr>
              <w:t>84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3">
            <w:pPr>
              <w:spacing w:line="240" w:lineRule="auto"/>
              <w:jc w:val="center"/>
              <w:rPr/>
            </w:pPr>
            <w:r>
              <w:rPr>
                <w:rFonts w:ascii="Times New Roman" w:cs="Times New Roman" w:eastAsia="Times New Roman" w:hAnsi="Times New Roman"/>
                <w:b w:val="0"/>
                <w:bCs w:val="0"/>
                <w:sz w:val="16"/>
                <w:szCs w:val="16"/>
                <w:rtl w:val="0"/>
              </w:rPr>
              <w:t>0.130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4">
            <w:pPr>
              <w:spacing w:line="240" w:lineRule="auto"/>
              <w:jc w:val="center"/>
              <w:rPr/>
            </w:pPr>
            <w:r>
              <w:rPr>
                <w:rFonts w:ascii="Times New Roman" w:cs="Times New Roman" w:eastAsia="Times New Roman" w:hAnsi="Times New Roman"/>
                <w:b w:val="0"/>
                <w:bCs w:val="0"/>
                <w:sz w:val="16"/>
                <w:szCs w:val="16"/>
                <w:rtl w:val="0"/>
              </w:rPr>
              <w:t>2.821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5">
            <w:pPr>
              <w:spacing w:line="240" w:lineRule="auto"/>
              <w:jc w:val="center"/>
              <w:rPr/>
            </w:pPr>
            <w:r>
              <w:rPr>
                <w:rFonts w:ascii="Times New Roman" w:cs="Times New Roman" w:eastAsia="Times New Roman" w:hAnsi="Times New Roman"/>
                <w:b w:val="0"/>
                <w:bCs w:val="0"/>
                <w:sz w:val="16"/>
                <w:szCs w:val="16"/>
                <w:rtl w:val="0"/>
              </w:rPr>
              <w:t>6.32 (.003)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6">
            <w:pPr>
              <w:spacing w:line="240" w:lineRule="auto"/>
              <w:jc w:val="center"/>
              <w:rPr/>
            </w:pPr>
            <w:r>
              <w:rPr>
                <w:rFonts w:ascii="Times New Roman" w:cs="Times New Roman" w:eastAsia="Times New Roman" w:hAnsi="Times New Roman"/>
                <w:b w:val="0"/>
                <w:bCs w:val="0"/>
                <w:sz w:val="16"/>
                <w:szCs w:val="16"/>
                <w:rtl w:val="0"/>
              </w:rPr>
              <w:t>0.165</w:t>
            </w:r>
            <w:r>
              <w:rPr>
                <w:rtl w:val="0"/>
              </w:rPr>
            </w:r>
          </w:p>
        </w:tc>
      </w:tr>
    </w:tbl>
    <w:p w:rsidR="00000000" w:rsidDel="00000000" w:rsidP="00000000" w:rsidRDefault="00000000" w:rsidRPr="00000000" w14:paraId="000001E7">
      <w:pPr>
        <w:spacing w:after="60" w:line="480" w:lineRule="auto"/>
        <w:jc w:val="left"/>
        <w:rPr/>
      </w:pPr>
      <w:r>
        <w:rPr>
          <w:rtl w:val="0"/>
        </w:rPr>
      </w:r>
    </w:p>
    <w:p w:rsidR="00000000" w:rsidDel="00000000" w:rsidP="00000000" w:rsidRDefault="00000000" w:rsidRPr="00000000" w14:paraId="000001E8">
      <w:pPr>
        <w:spacing w:after="240" w:line="480" w:lineRule="auto"/>
        <w:jc w:val="left"/>
        <w:rPr/>
      </w:pPr>
      <w:r>
        <w:rPr>
          <w:rFonts w:ascii="Gungsuh" w:cs="Gungsuh" w:eastAsia="Gungsuh" w:hAnsi="Gungsuh"/>
          <w:i w:val="1"/>
          <w:iCs w:val="1"/>
          <w:sz w:val="16"/>
          <w:szCs w:val="16"/>
          <w:rtl w:val="0"/>
        </w:rPr>
        <w:t>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rPr>
          <w:rtl w:val="0"/>
        </w:rPr>
      </w:r>
      <w:r>
        <w:rPr>
          <w:rFonts w:ascii="Times New Roman" w:hAnsi="Times New Roman"/>
          <w:sz w:val="18"/>
        </w:rPr>
      </w:r>
    </w:p>
    <w:p w:rsidR="00000000" w:rsidDel="00000000" w:rsidP="00000000" w:rsidRDefault="00000000" w:rsidRPr="00000000" w14:paraId="000001B9">
      <w:pPr>
        <w:spacing w:after="0" w:line="480" w:lineRule="auto"/>
        <w:ind w:firstLine="720"/>
        <w:jc w:val="both"/>
        <w:rPr/>
      </w:pPr>
      <w:r>
        <w:rPr>
          <w:rFonts w:ascii="Times New Roman" w:cs="Times New Roman" w:eastAsia="Times New Roman" w:hAnsi="Times New Roman"/>
          <w:sz w:val="20"/>
          <w:szCs w:val="20"/>
          <w:rtl w:val="0"/>
        </w:rPr>
        <w:t>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rPr>
          <w:rtl w:val="0"/>
        </w:rPr>
      </w:r>
    </w:p>
    <w:p w:rsidR="00000000" w:rsidDel="00000000" w:rsidP="00000000" w:rsidRDefault="00000000" w:rsidRPr="00000000" w14:paraId="000001E9">
      <w:pPr>
        <w:spacing w:after="240" w:before="360" w:lineRule="auto"/>
        <w:jc w:val="left"/>
        <w:rPr/>
      </w:pPr>
      <w:r>
        <w:rPr>
          <w:rFonts w:ascii="Times New Roman" w:cs="Times New Roman" w:eastAsia="Times New Roman" w:hAnsi="Times New Roman"/>
          <w:b w:val="1"/>
          <w:bCs w:val="1"/>
          <w:sz w:val="24"/>
          <w:szCs w:val="24"/>
          <w:rtl w:val="0"/>
        </w:rPr>
        <w:t xml:space="preserve">5 Discussion</w:t>
      </w:r>
      <w:r>
        <w:rPr>
          <w:rtl w:val="0"/>
        </w:rPr>
      </w:r>
    </w:p>
    <w:p w:rsidR="00000000" w:rsidDel="00000000" w:rsidP="00000000" w:rsidRDefault="00000000" w:rsidRPr="00000000" w14:paraId="000001EA">
      <w:pPr>
        <w:spacing w:after="160" w:before="280" w:lineRule="auto"/>
        <w:jc w:val="left"/>
        <w:rPr/>
      </w:pPr>
      <w:r>
        <w:rPr>
          <w:rFonts w:ascii="Times New Roman" w:cs="Times New Roman" w:eastAsia="Times New Roman" w:hAnsi="Times New Roman"/>
          <w:b w:val="1"/>
          <w:bCs w:val="1"/>
          <w:sz w:val="22"/>
          <w:szCs w:val="22"/>
          <w:rtl w:val="0"/>
        </w:rPr>
        <w:t xml:space="preserve">5.1 Theoretical implications</w:t>
      </w:r>
      <w:r>
        <w:rPr>
          <w:rtl w:val="0"/>
        </w:rPr>
      </w:r>
    </w:p>
    <w:p w:rsidR="00000000" w:rsidDel="00000000" w:rsidP="00000000" w:rsidRDefault="00000000" w:rsidRPr="00000000" w14:paraId="000001EB">
      <w:pPr>
        <w:spacing w:after="0" w:line="480" w:lineRule="auto"/>
        <w:ind w:firstLine="720"/>
        <w:jc w:val="both"/>
        <w:rPr/>
      </w:pPr>
      <w:r>
        <w:rPr>
          <w:rFonts w:ascii="Times New Roman" w:cs="Times New Roman" w:eastAsia="Times New Roman" w:hAnsi="Times New Roman"/>
          <w:sz w:val="20"/>
          <w:szCs w:val="20"/>
          <w:rtl w:val="0"/>
        </w:rPr>
        <w:t>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internationalization–performance relationship. This pattern is consistent with the view that internal capability depth can improve how efficiently firms operate across markets without necessarily altering the coordination-cost dynamics that generate nonlinearity in the I–P relationship.</w:t>
      </w:r>
      <w:r>
        <w:rPr>
          <w:rtl w:val="0"/>
        </w:rPr>
      </w:r>
    </w:p>
    <w:p w:rsidR="00000000" w:rsidDel="00000000" w:rsidP="00000000" w:rsidRDefault="00000000" w:rsidRPr="00000000" w14:paraId="000001EC">
      <w:pPr>
        <w:spacing w:after="0" w:line="480" w:lineRule="auto"/>
        <w:ind w:firstLine="720"/>
        <w:jc w:val="both"/>
        <w:rPr/>
      </w:pPr>
      <w:r>
        <w:rPr>
          <w:rFonts w:ascii="Times New Roman" w:cs="Times New Roman" w:eastAsia="Times New Roman" w:hAnsi="Times New Roman"/>
          <w:sz w:val="20"/>
          <w:szCs w:val="20"/>
          <w:rtl w:val="0"/>
        </w:rPr>
        <w:t>Second, the present evidence qualifies rather than overturns the conventional nonlinear I–P literature (Contractor et al. 2003; Hitt et al. 1997; Lu &amp; Beamish 2004; Marano et al. 2016). The baseline relationship remains mildly curved, but the negative right-hand side of the curve is not formally established within the observed export-intensity range. A useful interpretation is that, in a extreme-case Singapore setting,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may not generalize to extreme-case Singapore settings without explicit specification of the digital-infrastructure boundary under which it holds.</w:t>
      </w:r>
      <w:r>
        <w:rPr>
          <w:rtl w:val="0"/>
        </w:rPr>
      </w:r>
    </w:p>
    <w:p w:rsidR="00000000" w:rsidDel="00000000" w:rsidP="00000000" w:rsidRDefault="00000000" w:rsidRPr="00000000" w14:paraId="000001ED">
      <w:pPr>
        <w:spacing w:after="0" w:line="480" w:lineRule="auto"/>
        <w:ind w:firstLine="720"/>
        <w:jc w:val="both"/>
        <w:rPr/>
      </w:pPr>
      <w:r>
        <w:rPr>
          <w:rFonts w:ascii="Times New Roman" w:cs="Times New Roman" w:eastAsia="Times New Roman" w:hAnsi="Times New Roman"/>
          <w:sz w:val="20"/>
          <w:szCs w:val="20"/>
          <w:rtl w:val="0"/>
        </w:rPr>
        <w:t>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Distinguishing DAI from TCI therefore does more than improve terminology; it clarifies that firm-internal capability depth and digitally enabled cross-border orchestration are analytically distinct sources of performance heterogeneity. In the present setting, the observed DAI effect should be understood as evidence about the productivity relevance of Tier 1–2 digitalization in a digitally mature economy, not as direct evidence about deeper digitally integrated organizational capability.</w:t>
      </w:r>
      <w:r>
        <w:rPr>
          <w:rtl w:val="0"/>
        </w:rPr>
      </w:r>
      <w:r>
        <w:rPr>
          <w:rFonts w:ascii="Times New Roman" w:hAnsi="Times New Roman"/>
          <w:sz w:val="22"/>
        </w:rPr>
      </w:r>
    </w:p>
    <w:p w:rsidR="00000000" w:rsidDel="00000000" w:rsidP="00000000" w:rsidRDefault="00000000" w:rsidRPr="00000000" w14:paraId="000001EE">
      <w:pPr>
        <w:spacing w:after="160" w:before="280" w:lineRule="auto"/>
        <w:jc w:val="left"/>
        <w:rPr/>
      </w:pPr>
      <w:r>
        <w:rPr>
          <w:rFonts w:ascii="Times New Roman" w:cs="Times New Roman" w:eastAsia="Times New Roman" w:hAnsi="Times New Roman"/>
          <w:b w:val="1"/>
          <w:bCs w:val="1"/>
          <w:sz w:val="22"/>
          <w:szCs w:val="22"/>
          <w:rtl w:val="0"/>
        </w:rPr>
        <w:t xml:space="preserve">5.2 Managerial implications</w:t>
      </w:r>
      <w:r>
        <w:rPr>
          <w:rtl w:val="0"/>
        </w:rPr>
      </w:r>
    </w:p>
    <w:p w:rsidR="00000000" w:rsidDel="00000000" w:rsidP="00000000" w:rsidRDefault="00000000" w:rsidRPr="00000000" w14:paraId="000001EF">
      <w:pPr>
        <w:spacing w:after="0" w:line="480" w:lineRule="auto"/>
        <w:ind w:firstLine="720"/>
        <w:jc w:val="both"/>
        <w:rPr/>
      </w:pPr>
      <w:r>
        <w:rPr>
          <w:rFonts w:ascii="Times New Roman" w:cs="Times New Roman" w:eastAsia="Times New Roman" w:hAnsi="Times New Roman"/>
          <w:sz w:val="20"/>
          <w:szCs w:val="20"/>
          <w:rtl w:val="0"/>
        </w:rPr>
        <w:t>For firms operating in digitally mature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 For firms that are already deeply engaged in export markets, the implication is therefore strategic rather than merely symbolic: foundational digital systems seem to matter most when coordination demands across customers, suppliers, and foreign-market transactions become dense enough for those systems to be used intensively.</w:t>
      </w:r>
      <w:r>
        <w:rPr>
          <w:rtl w:val="0"/>
        </w:rPr>
      </w:r>
    </w:p>
    <w:p w:rsidR="00000000" w:rsidDel="00000000" w:rsidP="00000000" w:rsidRDefault="00000000" w:rsidRPr="00000000" w14:paraId="000001EF">
      <w:pPr>
        <w:spacing w:after="0" w:line="480" w:lineRule="auto"/>
        <w:ind w:firstLine="720"/>
        <w:jc w:val="both"/>
        <w:rPr/>
      </w:pPr>
      <w:r>
        <w:rPr>
          <w:rFonts w:ascii="Times New Roman" w:cs="Times New Roman" w:eastAsia="Times New Roman" w:hAnsi="Times New Roman"/>
          <w:sz w:val="20"/>
          <w:szCs w:val="20"/>
          <w:rtl w:val="0"/>
        </w:rPr>
        <w:t>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 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r>
        <w:rPr>
          <w:rtl w:val="0"/>
        </w:rPr>
      </w:r>
    </w:p>
    <w:p w:rsidR="00000000" w:rsidDel="00000000" w:rsidP="00000000" w:rsidRDefault="00000000" w:rsidRPr="00000000" w14:paraId="000001F0">
      <w:pPr>
        <w:spacing w:after="0" w:line="480" w:lineRule="auto"/>
        <w:ind w:firstLine="720"/>
        <w:jc w:val="both"/>
        <w:rPr/>
      </w:pPr>
      <w:r>
        <w:rPr>
          <w:rFonts w:ascii="Times New Roman" w:cs="Times New Roman" w:eastAsia="Times New Roman" w:hAnsi="Times New Roman"/>
          <w:sz w:val="20"/>
          <w:szCs w:val="20"/>
          <w:rtl w:val="0"/>
        </w:rPr>
        <w:t>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r>
        <w:rPr>
          <w:rtl w:val="0"/>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6 Conclusion</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This study revisits the internationalization–performance relationship in a digitally mature economy by distinguishing technological capability from digital adoption and examining how each relates to labour productivity in Singapore. Using World Bank Enterprise Survey microdata for Singapore 2023, the analysis shows that technological capability is positively associated with productivity and operates primarily as a level-shift effect, whereas digital adoption shows conditional relevance that becomes more positive at higher levels of export intensity.</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The findings also refine the interpretation of the nonlinear I–P literature in digitally mature settings. Within the observed export-intensity range, the baseline pattern is best characterized as predominantly monotonic positive with mild quadratic curvature rather than as a formally identified inverted-U. Read in this way, the evidence does not overturn the established I–P literature, but instead suggests that, in digitally mature economies, the right-side decline of the curve may be attenuated or shifted toward sparsely populated levels of export intensity.</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More broadly, the study contributes to international business research by sharpening construct validity and clarifying a boundary condition of digital internationalization. Technological capability appears to capture firm-internal capability depth, whereas foundational digital adoption is better understood as a contingent scaling resource whose productivity relevance becomes more visible as cross-border coordination demands increase.</w:t>
      </w:r>
      <w:r>
        <w:rPr>
          <w:rtl w:val="0"/>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7 Limitations and Future Research</w:t>
      </w:r>
      <w:r>
        <w:rPr>
          <w:rtl w:val="0"/>
        </w:rPr>
      </w:r>
    </w:p>
    <w:p w:rsidR="00000000" w:rsidDel="00000000" w:rsidP="00000000" w:rsidRDefault="00000000" w:rsidRPr="00000000" w14:paraId="000001F4">
      <w:pPr>
        <w:spacing w:after="0" w:line="480" w:lineRule="auto"/>
        <w:ind w:firstLine="720"/>
        <w:jc w:val="both"/>
        <w:rPr/>
      </w:pPr>
      <w:r>
        <w:rPr>
          <w:rFonts w:ascii="Times New Roman" w:cs="Times New Roman" w:eastAsia="Times New Roman" w:hAnsi="Times New Roman"/>
          <w:sz w:val="20"/>
          <w:szCs w:val="20"/>
          <w:rtl w:val="0"/>
        </w:rPr>
        <w:t>Three limitations warrant explicit caution in interpreting the findings. First, the analysis is a single-country cross-section, and the identification strategy is therefore associational rather than causal. The observed positive associations among TCI, DAI, internationalization, and labour productivity admit at least two non-causal interpretations consistent with the data. The first is productivity-driven self-selection into digital adoption: more productive firms may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read the present results as extreme-case, within-context evidence from Singapore: the estimated patterns describe how productivity, technological capability, and digital adoption co-move with export intensity in a digitally mature economy, while leaving causal identification of any specific mechanism to designs that cannot be implemented in the present study.</w:t>
      </w:r>
      <w:r>
        <w:rPr>
          <w:rtl w:val="0"/>
        </w:rPr>
      </w:r>
    </w:p>
    <w:p w:rsidR="00000000" w:rsidDel="00000000" w:rsidP="00000000" w:rsidRDefault="00000000" w:rsidRPr="00000000" w14:paraId="000001F5">
      <w:pPr>
        <w:spacing w:after="0" w:line="480" w:lineRule="auto"/>
        <w:ind w:firstLine="720"/>
        <w:jc w:val="both"/>
        <w:rPr/>
      </w:pPr>
      <w:r>
        <w:rPr>
          <w:rFonts w:ascii="Gungsuh" w:cs="Gungsuh" w:eastAsia="Gungsuh" w:hAnsi="Gungsuh"/>
          <w:sz w:val="20"/>
          <w:szCs w:val="20"/>
          <w:rtl w:val="0"/>
        </w:rPr>
        <w:t>Second, the sample contains a thin right tail of high-intensity exporters: 82.2% of firms report zero exports, 4.5% exceed 50% export intensity, and only 3.2% exceed 70%. Two consequences follow. First, the implied quadratic turning point at 82% on the FSTS scale is identified from a sparsely populated region; 5,000-replication cluster bootstrap places the 95% percentile confidence interval at [53%, 253%], so the turning point is best read as an indicative descriptive feature rather than a structurally identified inflection — the inverted-U *shape* is robust (recovered in 96.3% of bootstrap replications) but its *location* is imprecise. Second, the DAI moderation pattern attains conventional joint significance in the full-sample, leave-one-out (100% of LOO fits), and trimmed-tail re-estimations (drop FSTS &gt; 70%: F = 5.51, p = .004; drop FSTS &gt; 80%: F = 4.42, p = .012); within the exporter-only subsample (N = 84) the joint F-test for DAI moderation remains significant (F = 6.32, p = .003) but the 95% confidence intervals for individual coefficients are wider, reflecting the small subsample size rather than a fragile underlying pattern. The appropriate caution therefore rests on (i) the thin upper-tail support for the precise location of the turning point and (ii) the borderline precision of individual moderation coefficients in the small exporter subsample, not on differences in adjusted R² across samples of unequal size and composition.</w:t>
      </w:r>
      <w:r>
        <w:rPr>
          <w:rtl w:val="0"/>
        </w:rPr>
      </w:r>
    </w:p>
    <w:p w:rsidR="00000000" w:rsidDel="00000000" w:rsidP="00000000" w:rsidRDefault="00000000" w:rsidRPr="00000000" w14:paraId="000001F6">
      <w:pPr>
        <w:spacing w:after="0" w:line="480" w:lineRule="auto"/>
        <w:ind w:firstLine="720"/>
        <w:jc w:val="both"/>
        <w:rPr/>
      </w:pPr>
      <w:r>
        <w:rPr>
          <w:rFonts w:ascii="Gungsuh" w:cs="Gungsuh" w:eastAsia="Gungsuh" w:hAnsi="Gungsuh"/>
          <w:sz w:val="20"/>
          <w:szCs w:val="20"/>
          <w:rtl w:val="0"/>
        </w:rPr>
        <w:t>Third, the estimated moderation effect is statistically detectable but substantively modest, and the present results should be read as an initial firm-level test of a conditional digital-adoption argument in one digitally mature setting rather than as definitive evidence of a generalized pattern across digitally mature economies. The DAI indicators available in WBES 2023 capture Tier 1–2 digital adoption — digital presence and digital transaction usage — rather than Tier 3–4 digital capability or dynamic capability; indicator-sensitivity analysis shows that the moderation pattern depends on the foundational digital-infrastructure indicators (firm website and electronic-payment-to-suppliers usage) and weakens when these specific indicators are dropped. Although equivalence-testing approaches (Lakens et al. 2018) could in principle quantify the support for null moderation in subsamples, the present sample size limits their power, and the more cautious reading is that absence of moderation cannot be inferred from non-significance alone. Whether the scale-enabling-complement pattern persists, attenuates, or is amplified under richer measures of digitally integrated organizational capabilities remains an open empirical question. Future research should therefore examine whether the same pattern appears in other digitally mature economies, such as Hong Kong, the Republic of Korea, and Taiwan, and under purpose-designed instruments that capture deeper digital dynamic capabilities. Future research should also extend this measurement architecture by linking WBES-type microdata, where confidentiality arrangements permit, to firm-level databases or by using purpose-built survey instruments that better capture process-level digital integration and higher-order capability depth. More broadly, future work should examine whether the scale-enabling-complement pattern operates through identifiable mechanisms such as supplier-side digital integration, customer-facing digital channels, or internal ERP integration. Causal identification, in particular, would benefit from firm-level panel data, successive enterprise-survey waves, national statistical-office registers, or proprietary databases that permit firm fixed-effects estimation. Where suitable instruments are available, such as regional digital-infrastructure rollouts or plausibly exogenous trade-policy shocks, instrumental-variable or difference-in-differences designs would further upgrade the present associational evidence to causal identification.</w:t>
      </w:r>
      <w:r>
        <w:rPr>
          <w:rtl w:val="0"/>
        </w:rPr>
      </w:r>
      <w:r>
        <w:rPr>
          <w:rFonts w:ascii="Times New Roman" w:hAnsi="Times New Roman"/>
          <w:sz w:val="22"/>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Data Availability Statement</w:t>
      </w:r>
      <w:r>
        <w:rPr>
          <w:rtl w:val="0"/>
        </w:rPr>
      </w:r>
    </w:p>
    <w:p w:rsidR="00000000" w:rsidDel="00000000" w:rsidP="00000000" w:rsidRDefault="00000000" w:rsidRPr="00000000" w14:paraId="000001F4">
      <w:pPr>
        <w:spacing w:after="0" w:line="480" w:lineRule="auto"/>
        <w:ind w:firstLine="720"/>
        <w:jc w:val="both"/>
        <w:rPr/>
      </w:pPr>
      <w:r>
        <w:rPr>
          <w:rFonts w:ascii="Times New Roman" w:cs="Times New Roman" w:eastAsia="Times New Roman" w:hAnsi="Times New Roman"/>
          <w:sz w:val="20"/>
          <w:szCs w:val="20"/>
          <w:rtl w:val="0"/>
        </w:rPr>
        <w:t>The data analyzed in this study are from the World Bank Enterprise Survey (WBES) Singapore 2023 wave, publicly available at https://www.enterprisesurveys.org. Analysis scripts to replicate the results are available from the corresponding author on reasonable request.</w:t>
      </w:r>
      <w:r>
        <w:rPr>
          <w:rtl w:val="0"/>
        </w:rPr>
      </w:r>
    </w:p>
    <w:p w:rsidR="00000000" w:rsidDel="00000000" w:rsidP="00000000" w:rsidRDefault="00000000" w:rsidRPr="00000000" w14:paraId="000001F8">
      <w:pPr>
        <w:pageBreakBefore w:val="1"/>
        <w:spacing w:after="240" w:before="360" w:lineRule="auto"/>
        <w:jc w:val="left"/>
        <w:rPr/>
      </w:pPr>
      <w:r>
        <w:rPr>
          <w:rFonts w:ascii="Times New Roman" w:cs="Times New Roman" w:eastAsia="Times New Roman" w:hAnsi="Times New Roman"/>
          <w:b w:val="1"/>
          <w:bCs w:val="1"/>
          <w:sz w:val="24"/>
          <w:szCs w:val="24"/>
          <w:rtl w:val="0"/>
        </w:rPr>
        <w:t xml:space="preserve">References</w:t>
      </w:r>
      <w:r>
        <w:rPr>
          <w:rtl w:val="0"/>
        </w:rPr>
      </w:r>
    </w:p>
    <w:p w:rsidR="00000000" w:rsidDel="00000000" w:rsidP="00000000" w:rsidRDefault="00000000" w:rsidRPr="00000000" w14:paraId="000001F9">
      <w:pPr>
        <w:spacing w:after="60" w:line="360" w:lineRule="auto"/>
        <w:ind w:left="720" w:hanging="720"/>
        <w:jc w:val="left"/>
        <w:rPr/>
      </w:pPr>
      <w:r>
        <w:rPr>
          <w:rFonts w:ascii="Times New Roman" w:hAnsi="Times New Roman"/>
          <w:sz w:val="20"/>
        </w:rPr>
        <w:t xml:space="preserve">Aguinis, H., Beaty, J. C., Boik, R. J., &amp; Pierce, C. A. (2005). Effect size and power in assessing moderating effects of categorical variables using multiple regression: A 30-year review. </w:t>
      </w:r>
      <w:r>
        <w:rPr>
          <w:rFonts w:ascii="Times New Roman" w:hAnsi="Times New Roman"/>
          <w:i/>
          <w:sz w:val="20"/>
        </w:rPr>
        <w:t>Journal of Applied Psychology, 90</w:t>
      </w:r>
      <w:r>
        <w:rPr>
          <w:rFonts w:ascii="Times New Roman" w:hAnsi="Times New Roman"/>
          <w:sz w:val="20"/>
        </w:rPr>
        <w:t>(1), 94–107. https://doi.org/10.1037/0021-9010.90.1.94</w:t>
      </w:r>
    </w:p>
    <w:p w:rsidR="00000000" w:rsidDel="00000000" w:rsidP="00000000" w:rsidRDefault="00000000" w:rsidRPr="00000000" w14:paraId="000001FA">
      <w:pPr>
        <w:spacing w:after="60" w:line="360" w:lineRule="auto"/>
        <w:ind w:left="720" w:hanging="720"/>
        <w:jc w:val="left"/>
        <w:rPr/>
      </w:pPr>
      <w:r>
        <w:rPr>
          <w:rFonts w:ascii="Times New Roman" w:hAnsi="Times New Roman"/>
          <w:sz w:val="20"/>
        </w:rPr>
        <w:t xml:space="preserve">Aiken, L. S., &amp; West, S. G. (1991). </w:t>
      </w:r>
      <w:r>
        <w:rPr>
          <w:rFonts w:ascii="Times New Roman" w:hAnsi="Times New Roman"/>
          <w:i/>
          <w:sz w:val="20"/>
        </w:rPr>
        <w:t>Multiple regression: Testing and interpreting interactions</w:t>
      </w:r>
      <w:r>
        <w:rPr>
          <w:rFonts w:ascii="Times New Roman" w:hAnsi="Times New Roman"/>
          <w:sz w:val="20"/>
        </w:rPr>
        <w:t>. Sage.</w:t>
      </w:r>
    </w:p>
    <w:p w:rsidR="00000000" w:rsidDel="00000000" w:rsidP="00000000" w:rsidRDefault="00000000" w:rsidRPr="00000000" w14:paraId="000001FB">
      <w:pPr>
        <w:spacing w:after="60" w:line="360" w:lineRule="auto"/>
        <w:ind w:left="720" w:hanging="720"/>
        <w:jc w:val="left"/>
        <w:rPr/>
      </w:pPr>
      <w:r>
        <w:rPr>
          <w:rFonts w:ascii="Times New Roman" w:hAnsi="Times New Roman"/>
          <w:sz w:val="20"/>
        </w:rPr>
        <w:t xml:space="preserve">Antonakis, J., Bendahan, S., Jacquart, P., &amp; Lalive, R. (2010). On making causal claims: A review and recommendations. </w:t>
      </w:r>
      <w:r>
        <w:rPr>
          <w:rFonts w:ascii="Times New Roman" w:hAnsi="Times New Roman"/>
          <w:i/>
          <w:sz w:val="20"/>
        </w:rPr>
        <w:t>The Leadership Quarterly, 21</w:t>
      </w:r>
      <w:r>
        <w:rPr>
          <w:rFonts w:ascii="Times New Roman" w:hAnsi="Times New Roman"/>
          <w:sz w:val="20"/>
        </w:rPr>
        <w:t>(6), 1086–1120. https://doi.org/10.1016/j.leaqua.2010.10.010</w:t>
      </w:r>
    </w:p>
    <w:p w:rsidR="00000000" w:rsidDel="00000000" w:rsidP="00000000" w:rsidRDefault="00000000" w:rsidRPr="00000000" w14:paraId="000001FC">
      <w:pPr>
        <w:spacing w:after="60" w:line="360" w:lineRule="auto"/>
        <w:ind w:left="720" w:hanging="720"/>
        <w:jc w:val="left"/>
        <w:rPr/>
      </w:pPr>
      <w:r>
        <w:rPr>
          <w:rFonts w:ascii="Times New Roman" w:hAnsi="Times New Roman"/>
          <w:sz w:val="20"/>
        </w:rPr>
        <w:t xml:space="preserve">Avenyo, E. K., Tregenna, F., &amp; Kraemer-Mbula, E. (2021). Do productive capabilities affect export performance? Microeconomic evidence from sub-Saharan Africa. </w:t>
      </w:r>
      <w:r>
        <w:rPr>
          <w:rFonts w:ascii="Times New Roman" w:hAnsi="Times New Roman"/>
          <w:i/>
          <w:sz w:val="20"/>
        </w:rPr>
        <w:t>The European Journal of Development Research, 33</w:t>
      </w:r>
      <w:r>
        <w:rPr>
          <w:rFonts w:ascii="Times New Roman" w:hAnsi="Times New Roman"/>
          <w:sz w:val="20"/>
        </w:rPr>
        <w:t>(2), 304–329. https://doi.org/10.1057/s41287-020-00328-2</w:t>
      </w:r>
    </w:p>
    <w:p w:rsidR="00000000" w:rsidDel="00000000" w:rsidP="00000000" w:rsidRDefault="00000000" w:rsidRPr="00000000" w14:paraId="000001FD">
      <w:pPr>
        <w:spacing w:after="60" w:line="360" w:lineRule="auto"/>
        <w:ind w:left="720" w:hanging="720"/>
        <w:jc w:val="left"/>
        <w:rPr/>
      </w:pPr>
      <w:r>
        <w:rPr>
          <w:rFonts w:ascii="Times New Roman" w:hAnsi="Times New Roman"/>
          <w:sz w:val="20"/>
        </w:rPr>
        <w:t xml:space="preserve">Banalieva, E. R., &amp; Dhanaraj, C. (2019). Internalization theory for the digital economy. </w:t>
      </w:r>
      <w:r>
        <w:rPr>
          <w:rFonts w:ascii="Times New Roman" w:hAnsi="Times New Roman"/>
          <w:i/>
          <w:sz w:val="20"/>
        </w:rPr>
        <w:t>Journal of International Business Studies, 50</w:t>
      </w:r>
      <w:r>
        <w:rPr>
          <w:rFonts w:ascii="Times New Roman" w:hAnsi="Times New Roman"/>
          <w:sz w:val="20"/>
        </w:rPr>
        <w:t>(8), 1372–1387. https://doi.org/10.1057/s41267-019-00243-7</w:t>
      </w:r>
    </w:p>
    <w:p w:rsidR="00000000" w:rsidDel="00000000" w:rsidP="00000000" w:rsidRDefault="00000000" w:rsidRPr="00000000" w14:paraId="000001FE">
      <w:pPr>
        <w:spacing w:after="60" w:line="360" w:lineRule="auto"/>
        <w:ind w:left="720" w:hanging="720"/>
        <w:jc w:val="left"/>
        <w:rPr/>
      </w:pPr>
      <w:r>
        <w:rPr>
          <w:rFonts w:ascii="Times New Roman" w:hAnsi="Times New Roman"/>
          <w:sz w:val="20"/>
        </w:rPr>
        <w:t xml:space="preserve">Barney, J. (1991). Firm resources and sustained competitive advantage. </w:t>
      </w:r>
      <w:r>
        <w:rPr>
          <w:rFonts w:ascii="Times New Roman" w:hAnsi="Times New Roman"/>
          <w:i/>
          <w:sz w:val="20"/>
        </w:rPr>
        <w:t>Journal of Management, 17</w:t>
      </w:r>
      <w:r>
        <w:rPr>
          <w:rFonts w:ascii="Times New Roman" w:hAnsi="Times New Roman"/>
          <w:sz w:val="20"/>
        </w:rPr>
        <w:t>(1), 99–120. https://doi.org/10.1177/014920639101700108</w:t>
      </w:r>
    </w:p>
    <w:p w:rsidR="00000000" w:rsidDel="00000000" w:rsidP="00000000" w:rsidRDefault="00000000" w:rsidRPr="00000000" w14:paraId="000001FF">
      <w:pPr>
        <w:spacing w:after="60" w:line="360" w:lineRule="auto"/>
        <w:ind w:left="720" w:hanging="720"/>
        <w:jc w:val="left"/>
        <w:rPr/>
      </w:pPr>
      <w:r>
        <w:rPr>
          <w:rFonts w:ascii="Times New Roman" w:hAnsi="Times New Roman"/>
          <w:sz w:val="20"/>
        </w:rPr>
        <w:t xml:space="preserve">Bharadwaj, A., El Sawy, O. A., Pavlou, P. A., &amp; Venkatraman, N. (2013). Digital business strategy: Toward a next generation of insights. </w:t>
      </w:r>
      <w:r>
        <w:rPr>
          <w:rFonts w:ascii="Times New Roman" w:hAnsi="Times New Roman"/>
          <w:i/>
          <w:sz w:val="20"/>
        </w:rPr>
        <w:t>MIS Quarterly, 37</w:t>
      </w:r>
      <w:r>
        <w:rPr>
          <w:rFonts w:ascii="Times New Roman" w:hAnsi="Times New Roman"/>
          <w:sz w:val="20"/>
        </w:rPr>
        <w:t>(2), 471–482. https://doi.org/10.25300/MISQ/2013/37:2.3</w:t>
      </w:r>
    </w:p>
    <w:p w:rsidR="00000000" w:rsidDel="00000000" w:rsidP="00000000" w:rsidRDefault="00000000" w:rsidRPr="00000000" w14:paraId="00000200">
      <w:pPr>
        <w:spacing w:after="60" w:line="360" w:lineRule="auto"/>
        <w:ind w:left="720" w:hanging="720"/>
        <w:jc w:val="left"/>
        <w:rPr/>
      </w:pPr>
      <w:r>
        <w:rPr>
          <w:rFonts w:ascii="Times New Roman" w:hAnsi="Times New Roman"/>
          <w:sz w:val="20"/>
        </w:rPr>
        <w:t xml:space="preserve">Brynjolfsson, E., Rock, D., &amp; Syverson, C. (2021). The productivity J-curve: How intangibles complement general purpose technologies. </w:t>
      </w:r>
      <w:r>
        <w:rPr>
          <w:rFonts w:ascii="Times New Roman" w:hAnsi="Times New Roman"/>
          <w:i/>
          <w:sz w:val="20"/>
        </w:rPr>
        <w:t>American Economic Journal: Macroeconomics, 13</w:t>
      </w:r>
      <w:r>
        <w:rPr>
          <w:rFonts w:ascii="Times New Roman" w:hAnsi="Times New Roman"/>
          <w:sz w:val="20"/>
        </w:rPr>
        <w:t>(1), 333–372. https://doi.org/10.1257/mac.20180386</w:t>
      </w:r>
    </w:p>
    <w:p w:rsidR="00000000" w:rsidDel="00000000" w:rsidP="00000000" w:rsidRDefault="00000000" w:rsidRPr="00000000" w14:paraId="00000201">
      <w:pPr>
        <w:spacing w:after="60" w:line="360" w:lineRule="auto"/>
        <w:ind w:left="720" w:hanging="720"/>
        <w:jc w:val="left"/>
        <w:rPr/>
      </w:pPr>
      <w:r>
        <w:rPr>
          <w:rFonts w:ascii="Times New Roman" w:hAnsi="Times New Roman"/>
          <w:sz w:val="20"/>
        </w:rPr>
        <w:t xml:space="preserve">Cohen, J. (1988). </w:t>
      </w:r>
      <w:r>
        <w:rPr>
          <w:rFonts w:ascii="Times New Roman" w:hAnsi="Times New Roman"/>
          <w:i/>
          <w:sz w:val="20"/>
        </w:rPr>
        <w:t>Statistical power analysis for the behavioral sciences</w:t>
      </w:r>
      <w:r>
        <w:rPr>
          <w:rFonts w:ascii="Times New Roman" w:hAnsi="Times New Roman"/>
          <w:sz w:val="20"/>
        </w:rPr>
        <w:t xml:space="preserve"> (2nd ed.). Lawrence Erlbaum.</w:t>
      </w:r>
    </w:p>
    <w:p w:rsidR="00000000" w:rsidDel="00000000" w:rsidP="00000000" w:rsidRDefault="00000000" w:rsidRPr="00000000" w14:paraId="00000202">
      <w:pPr>
        <w:spacing w:after="60" w:line="360" w:lineRule="auto"/>
        <w:ind w:left="720" w:hanging="720"/>
        <w:jc w:val="left"/>
        <w:rPr/>
      </w:pPr>
      <w:r>
        <w:rPr>
          <w:rFonts w:ascii="Times New Roman" w:hAnsi="Times New Roman"/>
          <w:sz w:val="20"/>
        </w:rPr>
        <w:t xml:space="preserve">Cohen, W. M., &amp; Levinthal, D. A. (1990). Absorptive capacity: A new perspective on learning and innovation. </w:t>
      </w:r>
      <w:r>
        <w:rPr>
          <w:rFonts w:ascii="Times New Roman" w:hAnsi="Times New Roman"/>
          <w:i/>
          <w:sz w:val="20"/>
        </w:rPr>
        <w:t>Administrative Science Quarterly, 35</w:t>
      </w:r>
      <w:r>
        <w:rPr>
          <w:rFonts w:ascii="Times New Roman" w:hAnsi="Times New Roman"/>
          <w:sz w:val="20"/>
        </w:rPr>
        <w:t>(1), 128–152. https://doi.org/10.2307/2393553</w:t>
      </w:r>
    </w:p>
    <w:p w:rsidR="00000000" w:rsidDel="00000000" w:rsidP="00000000" w:rsidRDefault="00000000" w:rsidRPr="00000000" w14:paraId="00000203">
      <w:pPr>
        <w:spacing w:after="60" w:line="360" w:lineRule="auto"/>
        <w:ind w:left="720" w:hanging="720"/>
        <w:jc w:val="left"/>
        <w:rPr/>
      </w:pPr>
      <w:r>
        <w:rPr>
          <w:rFonts w:ascii="Times New Roman" w:hAnsi="Times New Roman"/>
          <w:sz w:val="20"/>
        </w:rPr>
        <w:t xml:space="preserve">Coltman, T., Devinney, T. M., Midgley, D. F., &amp; Venaik, S. (2008). Formative versus reflective measurement models: Two applications of formative measurement. </w:t>
      </w:r>
      <w:r>
        <w:rPr>
          <w:rFonts w:ascii="Times New Roman" w:hAnsi="Times New Roman"/>
          <w:i/>
          <w:sz w:val="20"/>
        </w:rPr>
        <w:t>Journal of Business Research, 61</w:t>
      </w:r>
      <w:r>
        <w:rPr>
          <w:rFonts w:ascii="Times New Roman" w:hAnsi="Times New Roman"/>
          <w:sz w:val="20"/>
        </w:rPr>
        <w:t>(12), 1250–1262. https://doi.org/10.1016/j.jbusres.2008.01.013</w:t>
      </w:r>
    </w:p>
    <w:p w:rsidR="00000000" w:rsidDel="00000000" w:rsidP="00000000" w:rsidRDefault="00000000" w:rsidRPr="00000000" w14:paraId="00000204">
      <w:pPr>
        <w:spacing w:after="60" w:line="360" w:lineRule="auto"/>
        <w:ind w:left="720" w:hanging="720"/>
        <w:jc w:val="left"/>
        <w:rPr/>
      </w:pPr>
      <w:r>
        <w:rPr>
          <w:rFonts w:ascii="Times New Roman" w:hAnsi="Times New Roman"/>
          <w:sz w:val="20"/>
        </w:rPr>
        <w:t xml:space="preserve">Contractor, F. J. (2007). Is international business good for companies? The evolutionary or multi-stage theory of internationalization vs. the transaction cost perspective. </w:t>
      </w:r>
      <w:r>
        <w:rPr>
          <w:rFonts w:ascii="Times New Roman" w:hAnsi="Times New Roman"/>
          <w:i/>
          <w:sz w:val="20"/>
        </w:rPr>
        <w:t>Management International Review, 47</w:t>
      </w:r>
      <w:r>
        <w:rPr>
          <w:rFonts w:ascii="Times New Roman" w:hAnsi="Times New Roman"/>
          <w:sz w:val="20"/>
        </w:rPr>
        <w:t>(3), 453–475. https://doi.org/10.1007/s11575-007-0024-2</w:t>
      </w:r>
    </w:p>
    <w:p w:rsidR="00000000" w:rsidDel="00000000" w:rsidP="00000000" w:rsidRDefault="00000000" w:rsidRPr="00000000" w14:paraId="00000205">
      <w:pPr>
        <w:spacing w:after="60" w:line="360" w:lineRule="auto"/>
        <w:ind w:left="720" w:hanging="720"/>
        <w:jc w:val="left"/>
        <w:rPr/>
      </w:pPr>
      <w:r>
        <w:rPr>
          <w:rFonts w:ascii="Times New Roman" w:hAnsi="Times New Roman"/>
          <w:sz w:val="20"/>
        </w:rPr>
        <w:t xml:space="preserve">Contractor, F. J., Kundu, S. K., &amp; Hsu, C.-C. (2003). A three-stage theory of international expansion: The link between multinationality and performance in the service sector. </w:t>
      </w:r>
      <w:r>
        <w:rPr>
          <w:rFonts w:ascii="Times New Roman" w:hAnsi="Times New Roman"/>
          <w:i/>
          <w:sz w:val="20"/>
        </w:rPr>
        <w:t>Journal of International Business Studies, 34</w:t>
      </w:r>
      <w:r>
        <w:rPr>
          <w:rFonts w:ascii="Times New Roman" w:hAnsi="Times New Roman"/>
          <w:sz w:val="20"/>
        </w:rPr>
        <w:t>(1), 5–18. https://doi.org/10.1057/palgrave.jibs.8400003</w:t>
      </w:r>
    </w:p>
    <w:p w:rsidR="00000000" w:rsidDel="00000000" w:rsidP="00000000" w:rsidRDefault="00000000" w:rsidRPr="00000000" w14:paraId="00000206">
      <w:pPr>
        <w:spacing w:after="60" w:line="360" w:lineRule="auto"/>
        <w:ind w:left="720" w:hanging="720"/>
        <w:jc w:val="left"/>
        <w:rPr/>
      </w:pPr>
      <w:r>
        <w:rPr>
          <w:rFonts w:ascii="Times New Roman" w:hAnsi="Times New Roman"/>
          <w:sz w:val="20"/>
        </w:rPr>
        <w:t xml:space="preserve">Haans, R. F. J., Pieters, C., &amp; He, Z.-L. (2016). Thinking about U: Theorizing and testing U- and inverted U-shaped relationships in strategy research. </w:t>
      </w:r>
      <w:r>
        <w:rPr>
          <w:rFonts w:ascii="Times New Roman" w:hAnsi="Times New Roman"/>
          <w:i/>
          <w:sz w:val="20"/>
        </w:rPr>
        <w:t>Strategic Management Journal, 37</w:t>
      </w:r>
      <w:r>
        <w:rPr>
          <w:rFonts w:ascii="Times New Roman" w:hAnsi="Times New Roman"/>
          <w:sz w:val="20"/>
        </w:rPr>
        <w:t>(7), 1177–1195. https://doi.org/10.1002/smj.2399</w:t>
      </w:r>
    </w:p>
    <w:p w:rsidR="00000000" w:rsidDel="00000000" w:rsidP="00000000" w:rsidRDefault="00000000" w:rsidRPr="00000000" w14:paraId="00000207">
      <w:pPr>
        <w:spacing w:after="60" w:line="360" w:lineRule="auto"/>
        <w:ind w:left="720" w:hanging="720"/>
        <w:jc w:val="left"/>
        <w:rPr/>
      </w:pPr>
      <w:r>
        <w:rPr>
          <w:rFonts w:ascii="Times New Roman" w:hAnsi="Times New Roman"/>
          <w:sz w:val="20"/>
        </w:rPr>
        <w:t xml:space="preserve">Hambrick, D. C., &amp; Mason, P. A. (1984). Upper echelons: The organization as a reflection of its top managers. </w:t>
      </w:r>
      <w:r>
        <w:rPr>
          <w:rFonts w:ascii="Times New Roman" w:hAnsi="Times New Roman"/>
          <w:i/>
          <w:sz w:val="20"/>
        </w:rPr>
        <w:t>Academy of Management Review, 9</w:t>
      </w:r>
      <w:r>
        <w:rPr>
          <w:rFonts w:ascii="Times New Roman" w:hAnsi="Times New Roman"/>
          <w:sz w:val="20"/>
        </w:rPr>
        <w:t>(2), 193–206. https://doi.org/10.5465/amr.1984.4277628</w:t>
      </w:r>
    </w:p>
    <w:p w:rsidR="00000000" w:rsidDel="00000000" w:rsidP="00000000" w:rsidRDefault="00000000" w:rsidRPr="00000000" w14:paraId="00000208">
      <w:pPr>
        <w:spacing w:after="60" w:line="360" w:lineRule="auto"/>
        <w:ind w:left="720" w:hanging="720"/>
        <w:jc w:val="left"/>
        <w:rPr/>
      </w:pPr>
      <w:r>
        <w:rPr>
          <w:rFonts w:ascii="Times New Roman" w:hAnsi="Times New Roman"/>
          <w:sz w:val="20"/>
        </w:rPr>
        <w:t xml:space="preserve">Hitt, M. A., Hoskisson, R. E., &amp; Kim, H. (1997). International diversification: Effects on innovation and firm performance in product-diversified firms. </w:t>
      </w:r>
      <w:r>
        <w:rPr>
          <w:rFonts w:ascii="Times New Roman" w:hAnsi="Times New Roman"/>
          <w:i/>
          <w:sz w:val="20"/>
        </w:rPr>
        <w:t>Academy of Management Journal, 40</w:t>
      </w:r>
      <w:r>
        <w:rPr>
          <w:rFonts w:ascii="Times New Roman" w:hAnsi="Times New Roman"/>
          <w:sz w:val="20"/>
        </w:rPr>
        <w:t>(4), 767–798. https://doi.org/10.5465/256948</w:t>
      </w:r>
    </w:p>
    <w:p w:rsidR="00000000" w:rsidDel="00000000" w:rsidP="00000000" w:rsidRDefault="00000000" w:rsidRPr="00000000" w14:paraId="00000209">
      <w:pPr>
        <w:spacing w:after="60" w:line="360" w:lineRule="auto"/>
        <w:ind w:left="720" w:hanging="720"/>
        <w:jc w:val="left"/>
        <w:rPr/>
      </w:pPr>
      <w:r>
        <w:rPr>
          <w:rFonts w:ascii="Times New Roman" w:hAnsi="Times New Roman"/>
          <w:sz w:val="20"/>
        </w:rPr>
        <w:t xml:space="preserve">Krammer, S. M. S., Strange, R., &amp; Lashitew, A. (2018). The export performance of emerging economy firms. </w:t>
      </w:r>
      <w:r>
        <w:rPr>
          <w:rFonts w:ascii="Times New Roman" w:hAnsi="Times New Roman"/>
          <w:i/>
          <w:sz w:val="20"/>
        </w:rPr>
        <w:t>International Business Review, 27</w:t>
      </w:r>
      <w:r>
        <w:rPr>
          <w:rFonts w:ascii="Times New Roman" w:hAnsi="Times New Roman"/>
          <w:sz w:val="20"/>
        </w:rPr>
        <w:t>(1), 218–230. https://doi.org/10.1016/j.ibusrev.2017.07.003</w:t>
      </w:r>
    </w:p>
    <w:p w:rsidR="00000000" w:rsidDel="00000000" w:rsidP="00000000" w:rsidRDefault="00000000" w:rsidRPr="00000000" w14:paraId="0000020A">
      <w:pPr>
        <w:spacing w:after="60" w:line="360" w:lineRule="auto"/>
        <w:ind w:left="720" w:hanging="720"/>
        <w:jc w:val="left"/>
        <w:rPr/>
      </w:pPr>
      <w:r>
        <w:rPr>
          <w:rFonts w:ascii="Times New Roman" w:hAnsi="Times New Roman"/>
          <w:sz w:val="20"/>
        </w:rPr>
        <w:t xml:space="preserve">Lakens, D., Scheel, A. M., &amp; Isager, P. M. (2018). Equivalence testing for psychological research: A tutorial. </w:t>
      </w:r>
      <w:r>
        <w:rPr>
          <w:rFonts w:ascii="Times New Roman" w:hAnsi="Times New Roman"/>
          <w:i/>
          <w:sz w:val="20"/>
        </w:rPr>
        <w:t>Advances in Methods and Practices in Psychological Science, 1</w:t>
      </w:r>
      <w:r>
        <w:rPr>
          <w:rFonts w:ascii="Times New Roman" w:hAnsi="Times New Roman"/>
          <w:sz w:val="20"/>
        </w:rPr>
        <w:t>(2), 259–269. https://doi.org/10.1177/2515245918770963</w:t>
      </w:r>
    </w:p>
    <w:p w:rsidR="00000000" w:rsidDel="00000000" w:rsidP="00000000" w:rsidRDefault="00000000" w:rsidRPr="00000000" w14:paraId="0000020B">
      <w:pPr>
        <w:spacing w:after="60" w:line="360" w:lineRule="auto"/>
        <w:ind w:left="720" w:hanging="720"/>
        <w:jc w:val="left"/>
        <w:rPr/>
      </w:pPr>
      <w:r>
        <w:rPr>
          <w:rFonts w:ascii="Times New Roman" w:hAnsi="Times New Roman"/>
          <w:sz w:val="20"/>
        </w:rPr>
        <w:t xml:space="preserve">Lall, S. (1992). Technological capabilities and industrialization. </w:t>
      </w:r>
      <w:r>
        <w:rPr>
          <w:rFonts w:ascii="Times New Roman" w:hAnsi="Times New Roman"/>
          <w:i/>
          <w:sz w:val="20"/>
        </w:rPr>
        <w:t>World Development, 20</w:t>
      </w:r>
      <w:r>
        <w:rPr>
          <w:rFonts w:ascii="Times New Roman" w:hAnsi="Times New Roman"/>
          <w:sz w:val="20"/>
        </w:rPr>
        <w:t>(2), 165–186. https://doi.org/10.1016/0305-750X(92)90097-F</w:t>
      </w:r>
    </w:p>
    <w:p w:rsidR="00000000" w:rsidDel="00000000" w:rsidP="00000000" w:rsidRDefault="00000000" w:rsidRPr="00000000" w14:paraId="0000020C">
      <w:pPr>
        <w:spacing w:after="60" w:line="360" w:lineRule="auto"/>
        <w:ind w:left="720" w:hanging="720"/>
        <w:jc w:val="left"/>
        <w:rPr/>
      </w:pPr>
      <w:r>
        <w:rPr>
          <w:rFonts w:ascii="Times New Roman" w:hAnsi="Times New Roman"/>
          <w:sz w:val="20"/>
        </w:rPr>
        <w:t xml:space="preserve">Lind, J. T., &amp; Mehlum, H. (2010). With or without U? The appropriate test for a U-shaped relationship. </w:t>
      </w:r>
      <w:r>
        <w:rPr>
          <w:rFonts w:ascii="Times New Roman" w:hAnsi="Times New Roman"/>
          <w:i/>
          <w:sz w:val="20"/>
        </w:rPr>
        <w:t>Oxford Bulletin of Economics and Statistics, 72</w:t>
      </w:r>
      <w:r>
        <w:rPr>
          <w:rFonts w:ascii="Times New Roman" w:hAnsi="Times New Roman"/>
          <w:sz w:val="20"/>
        </w:rPr>
        <w:t>(1), 109–118. https://doi.org/10.1111/j.1468-0084.2009.00569.x</w:t>
      </w:r>
    </w:p>
    <w:p w:rsidR="00000000" w:rsidDel="00000000" w:rsidP="00000000" w:rsidRDefault="00000000" w:rsidRPr="00000000" w14:paraId="0000020D">
      <w:pPr>
        <w:spacing w:after="60" w:line="360" w:lineRule="auto"/>
        <w:ind w:left="720" w:hanging="720"/>
        <w:jc w:val="left"/>
        <w:rPr/>
      </w:pPr>
      <w:r>
        <w:rPr>
          <w:rFonts w:ascii="Times New Roman" w:hAnsi="Times New Roman"/>
          <w:sz w:val="20"/>
        </w:rPr>
        <w:t xml:space="preserve">Lu, J. W., &amp; Beamish, P. W. (2004). International diversification and firm performance: The S-curve hypothesis. </w:t>
      </w:r>
      <w:r>
        <w:rPr>
          <w:rFonts w:ascii="Times New Roman" w:hAnsi="Times New Roman"/>
          <w:i/>
          <w:sz w:val="20"/>
        </w:rPr>
        <w:t>Academy of Management Journal, 47</w:t>
      </w:r>
      <w:r>
        <w:rPr>
          <w:rFonts w:ascii="Times New Roman" w:hAnsi="Times New Roman"/>
          <w:sz w:val="20"/>
        </w:rPr>
        <w:t>(4), 598–609. https://doi.org/10.5465/20159604</w:t>
      </w:r>
    </w:p>
    <w:p w:rsidR="00000000" w:rsidDel="00000000" w:rsidP="00000000" w:rsidRDefault="00000000" w:rsidRPr="00000000" w14:paraId="0000020E">
      <w:pPr>
        <w:spacing w:after="60" w:line="360" w:lineRule="auto"/>
        <w:ind w:left="720" w:hanging="720"/>
        <w:jc w:val="left"/>
        <w:rPr/>
      </w:pPr>
      <w:r>
        <w:rPr>
          <w:rFonts w:ascii="Times New Roman" w:hAnsi="Times New Roman"/>
          <w:sz w:val="20"/>
        </w:rPr>
        <w:t xml:space="preserve">MacKinnon, J. G., &amp; White, H. (1985). Some heteroskedasticity-consistent covariance matrix estimators with improved finite sample properties. </w:t>
      </w:r>
      <w:r>
        <w:rPr>
          <w:rFonts w:ascii="Times New Roman" w:hAnsi="Times New Roman"/>
          <w:i/>
          <w:sz w:val="20"/>
        </w:rPr>
        <w:t>Journal of Econometrics, 29</w:t>
      </w:r>
      <w:r>
        <w:rPr>
          <w:rFonts w:ascii="Times New Roman" w:hAnsi="Times New Roman"/>
          <w:sz w:val="20"/>
        </w:rPr>
        <w:t>(3), 305–325. https://doi.org/10.1016/0304-4076(85)90158-7</w:t>
      </w:r>
    </w:p>
    <w:p w:rsidR="00000000" w:rsidDel="00000000" w:rsidP="00000000" w:rsidRDefault="00000000" w:rsidRPr="00000000" w14:paraId="0000020F">
      <w:pPr>
        <w:spacing w:after="60" w:line="360" w:lineRule="auto"/>
        <w:ind w:left="720" w:hanging="720"/>
        <w:jc w:val="left"/>
        <w:rPr/>
      </w:pPr>
      <w:r>
        <w:rPr>
          <w:rFonts w:ascii="Times New Roman" w:hAnsi="Times New Roman"/>
          <w:sz w:val="20"/>
        </w:rPr>
        <w:t xml:space="preserve">Marano, V., Arregle, J.-L., Hitt, M. A., Spadafora, E., &amp; van Essen, M. (2016). Home country institutions and the internationalization-performance relationship: A meta-analytic review. </w:t>
      </w:r>
      <w:r>
        <w:rPr>
          <w:rFonts w:ascii="Times New Roman" w:hAnsi="Times New Roman"/>
          <w:i/>
          <w:sz w:val="20"/>
        </w:rPr>
        <w:t>Journal of Management, 42</w:t>
      </w:r>
      <w:r>
        <w:rPr>
          <w:rFonts w:ascii="Times New Roman" w:hAnsi="Times New Roman"/>
          <w:sz w:val="20"/>
        </w:rPr>
        <w:t>(5), 1075–1110. https://doi.org/10.1177/0149206315624963</w:t>
      </w:r>
    </w:p>
    <w:p w:rsidR="00000000" w:rsidDel="00000000" w:rsidP="00000000" w:rsidRDefault="00000000" w:rsidRPr="00000000" w14:paraId="00000210">
      <w:pPr>
        <w:spacing w:after="60" w:line="360" w:lineRule="auto"/>
        <w:ind w:left="720" w:hanging="720"/>
        <w:jc w:val="left"/>
        <w:rPr/>
      </w:pPr>
      <w:r>
        <w:rPr>
          <w:rFonts w:ascii="Times New Roman" w:hAnsi="Times New Roman"/>
          <w:sz w:val="20"/>
        </w:rPr>
        <w:t xml:space="preserve">Meyer, K. E., van Witteloostuijn, A., &amp; Beugelsdijk, S. (2017). What’s in a p? Reassessing best practices for conducting and reporting hypothesis-testing research. </w:t>
      </w:r>
      <w:r>
        <w:rPr>
          <w:rFonts w:ascii="Times New Roman" w:hAnsi="Times New Roman"/>
          <w:i/>
          <w:sz w:val="20"/>
        </w:rPr>
        <w:t>Journal of International Business Studies, 48</w:t>
      </w:r>
      <w:r>
        <w:rPr>
          <w:rFonts w:ascii="Times New Roman" w:hAnsi="Times New Roman"/>
          <w:sz w:val="20"/>
        </w:rPr>
        <w:t>(5), 535–551. https://doi.org/10.1057/s41267-017-0078-8</w:t>
      </w:r>
    </w:p>
    <w:p w:rsidR="00000000" w:rsidDel="00000000" w:rsidP="00000000" w:rsidRDefault="00000000" w:rsidRPr="00000000" w14:paraId="00000211">
      <w:pPr>
        <w:spacing w:after="60" w:line="360" w:lineRule="auto"/>
        <w:ind w:left="720" w:hanging="720"/>
        <w:jc w:val="left"/>
        <w:rPr/>
      </w:pPr>
      <w:r>
        <w:rPr>
          <w:rFonts w:ascii="Times New Roman" w:hAnsi="Times New Roman"/>
          <w:sz w:val="20"/>
        </w:rPr>
        <w:t xml:space="preserve">O’Brien, R. M. (2007). A caution regarding rules of thumb for variance inflation factors. </w:t>
      </w:r>
      <w:r>
        <w:rPr>
          <w:rFonts w:ascii="Times New Roman" w:hAnsi="Times New Roman"/>
          <w:i/>
          <w:sz w:val="20"/>
        </w:rPr>
        <w:t>Quality &amp; Quantity, 41</w:t>
      </w:r>
      <w:r>
        <w:rPr>
          <w:rFonts w:ascii="Times New Roman" w:hAnsi="Times New Roman"/>
          <w:sz w:val="20"/>
        </w:rPr>
        <w:t>(5), 673–690. https://doi.org/10.1007/s11135-006-9018-6</w:t>
      </w:r>
    </w:p>
    <w:p w:rsidR="00000000" w:rsidDel="00000000" w:rsidP="00000000" w:rsidRDefault="00000000" w:rsidRPr="00000000" w14:paraId="00000212">
      <w:pPr>
        <w:spacing w:after="60" w:line="360" w:lineRule="auto"/>
        <w:ind w:left="720" w:hanging="720"/>
        <w:jc w:val="left"/>
        <w:rPr/>
      </w:pPr>
      <w:r>
        <w:rPr>
          <w:rFonts w:ascii="Times New Roman" w:hAnsi="Times New Roman"/>
          <w:sz w:val="20"/>
        </w:rPr>
        <w:t xml:space="preserve">Peng, M. W. (2003). Institutional transitions and strategic choices. </w:t>
      </w:r>
      <w:r>
        <w:rPr>
          <w:rFonts w:ascii="Times New Roman" w:hAnsi="Times New Roman"/>
          <w:i/>
          <w:sz w:val="20"/>
        </w:rPr>
        <w:t>Academy of Management Review, 28</w:t>
      </w:r>
      <w:r>
        <w:rPr>
          <w:rFonts w:ascii="Times New Roman" w:hAnsi="Times New Roman"/>
          <w:sz w:val="20"/>
        </w:rPr>
        <w:t>(2), 275–296. https://doi.org/10.5465/amr.2003.9416341</w:t>
      </w:r>
    </w:p>
    <w:p w:rsidR="00000000" w:rsidDel="00000000" w:rsidP="00000000" w:rsidRDefault="00000000" w:rsidRPr="00000000" w14:paraId="00000213">
      <w:pPr>
        <w:spacing w:after="60" w:line="360" w:lineRule="auto"/>
        <w:ind w:left="720" w:hanging="720"/>
        <w:jc w:val="left"/>
        <w:rPr/>
      </w:pPr>
      <w:r>
        <w:rPr>
          <w:rFonts w:ascii="Times New Roman" w:hAnsi="Times New Roman"/>
          <w:sz w:val="20"/>
        </w:rPr>
        <w:t xml:space="preserve">Peng, M. W., Wang, D. Y. L., &amp; Jiang, Y. (2008). An institution-based view of international business strategy: A focus on emerging economies. </w:t>
      </w:r>
      <w:r>
        <w:rPr>
          <w:rFonts w:ascii="Times New Roman" w:hAnsi="Times New Roman"/>
          <w:i/>
          <w:sz w:val="20"/>
        </w:rPr>
        <w:t>Journal of International Business Studies, 39</w:t>
      </w:r>
      <w:r>
        <w:rPr>
          <w:rFonts w:ascii="Times New Roman" w:hAnsi="Times New Roman"/>
          <w:sz w:val="20"/>
        </w:rPr>
        <w:t>(5), 920–936. https://doi.org/10.1057/palgrave.jibs.8400377</w:t>
      </w:r>
    </w:p>
    <w:p w:rsidR="00000000" w:rsidDel="00000000" w:rsidP="00000000" w:rsidRDefault="00000000" w:rsidRPr="00000000" w14:paraId="00000214">
      <w:pPr>
        <w:spacing w:after="60" w:line="360" w:lineRule="auto"/>
        <w:ind w:left="720" w:hanging="720"/>
        <w:jc w:val="left"/>
        <w:rPr/>
      </w:pPr>
      <w:r>
        <w:rPr>
          <w:rFonts w:ascii="Times New Roman" w:hAnsi="Times New Roman"/>
          <w:sz w:val="20"/>
        </w:rPr>
        <w:t xml:space="preserve">Rugman, A. M., &amp; Verbeke, A. (2004). A perspective on regional and global strategies of multinational enterprises. </w:t>
      </w:r>
      <w:r>
        <w:rPr>
          <w:rFonts w:ascii="Times New Roman" w:hAnsi="Times New Roman"/>
          <w:i/>
          <w:sz w:val="20"/>
        </w:rPr>
        <w:t>Journal of International Business Studies, 35</w:t>
      </w:r>
      <w:r>
        <w:rPr>
          <w:rFonts w:ascii="Times New Roman" w:hAnsi="Times New Roman"/>
          <w:sz w:val="20"/>
        </w:rPr>
        <w:t>(1), 3–18. https://doi.org/10.1057/palgrave.jibs.8400073</w:t>
      </w:r>
    </w:p>
    <w:p w:rsidR="00000000" w:rsidDel="00000000" w:rsidP="00000000" w:rsidRDefault="00000000" w:rsidRPr="00000000" w14:paraId="00000215">
      <w:pPr>
        <w:spacing w:after="60" w:line="360" w:lineRule="auto"/>
        <w:ind w:left="720" w:hanging="720"/>
        <w:jc w:val="left"/>
        <w:rPr/>
      </w:pPr>
      <w:r>
        <w:rPr>
          <w:rFonts w:ascii="Times New Roman" w:hAnsi="Times New Roman"/>
          <w:sz w:val="20"/>
        </w:rPr>
        <w:t xml:space="preserve">Shaver, J. M. (2020). Causal identification through a cumulative body of research in the study of strategy and organizations. </w:t>
      </w:r>
      <w:r>
        <w:rPr>
          <w:rFonts w:ascii="Times New Roman" w:hAnsi="Times New Roman"/>
          <w:i/>
          <w:sz w:val="20"/>
        </w:rPr>
        <w:t>Journal of Management, 46</w:t>
      </w:r>
      <w:r>
        <w:rPr>
          <w:rFonts w:ascii="Times New Roman" w:hAnsi="Times New Roman"/>
          <w:sz w:val="20"/>
        </w:rPr>
        <w:t>(6), 1244–1256. https://doi.org/10.1177/0149206319846272</w:t>
      </w:r>
    </w:p>
    <w:p w:rsidR="00000000" w:rsidDel="00000000" w:rsidP="00000000" w:rsidRDefault="00000000" w:rsidRPr="00000000" w14:paraId="00000216">
      <w:pPr>
        <w:spacing w:after="60" w:line="360" w:lineRule="auto"/>
        <w:ind w:left="720" w:hanging="720"/>
        <w:jc w:val="left"/>
        <w:rPr/>
      </w:pPr>
      <w:r>
        <w:rPr>
          <w:rFonts w:ascii="Times New Roman" w:hAnsi="Times New Roman"/>
          <w:sz w:val="20"/>
        </w:rPr>
        <w:t xml:space="preserve">Stallkamp, M., &amp; Schotter, A. P. J. (2021). Platforms without borders? The international strategies of digital platform firms. </w:t>
      </w:r>
      <w:r>
        <w:rPr>
          <w:rFonts w:ascii="Times New Roman" w:hAnsi="Times New Roman"/>
          <w:i/>
          <w:sz w:val="20"/>
        </w:rPr>
        <w:t>Global Strategy Journal, 11</w:t>
      </w:r>
      <w:r>
        <w:rPr>
          <w:rFonts w:ascii="Times New Roman" w:hAnsi="Times New Roman"/>
          <w:sz w:val="20"/>
        </w:rPr>
        <w:t>(1), 58–80. https://doi.org/10.1002/gsj.1336</w:t>
      </w:r>
    </w:p>
    <w:p w:rsidR="00000000" w:rsidDel="00000000" w:rsidP="00000000" w:rsidRDefault="00000000" w:rsidRPr="00000000" w14:paraId="00000217">
      <w:pPr>
        <w:spacing w:after="60" w:line="360" w:lineRule="auto"/>
        <w:ind w:left="720" w:hanging="720"/>
        <w:jc w:val="left"/>
        <w:rPr/>
      </w:pPr>
      <w:r>
        <w:rPr>
          <w:rFonts w:ascii="Times New Roman" w:hAnsi="Times New Roman"/>
          <w:sz w:val="20"/>
        </w:rPr>
        <w:t xml:space="preserve">Verhoef, P. C., Broekhuizen, T., Bart, Y., Bhattacharya, A., Dong, J. Q., Fabian, N., &amp; Haenlein, M. (2021). Digital transformation: A multidisciplinary reflection and research agenda. </w:t>
      </w:r>
      <w:r>
        <w:rPr>
          <w:rFonts w:ascii="Times New Roman" w:hAnsi="Times New Roman"/>
          <w:i/>
          <w:sz w:val="20"/>
        </w:rPr>
        <w:t>Journal of Business Research, 122</w:t>
      </w:r>
      <w:r>
        <w:rPr>
          <w:rFonts w:ascii="Times New Roman" w:hAnsi="Times New Roman"/>
          <w:sz w:val="20"/>
        </w:rPr>
        <w:t>, 889–901. https://doi.org/10.1016/j.jbusres.2019.09.022</w:t>
      </w:r>
    </w:p>
    <w:p w:rsidR="00000000" w:rsidDel="00000000" w:rsidP="00000000" w:rsidRDefault="00000000" w:rsidRPr="00000000" w14:paraId="00000218">
      <w:pPr>
        <w:spacing w:after="60" w:line="360" w:lineRule="auto"/>
        <w:ind w:left="720" w:hanging="720"/>
        <w:jc w:val="left"/>
        <w:rPr/>
      </w:pPr>
      <w:r>
        <w:rPr>
          <w:rFonts w:ascii="Times New Roman" w:hAnsi="Times New Roman"/>
          <w:sz w:val="20"/>
        </w:rPr>
        <w:t xml:space="preserve">Wolfolds, S. E., &amp; Siegel, J. (2019). Misaccounting for endogeneity: The peril of relying on the Heckman two-step method without a valid instrument. </w:t>
      </w:r>
      <w:r>
        <w:rPr>
          <w:rFonts w:ascii="Times New Roman" w:hAnsi="Times New Roman"/>
          <w:i/>
          <w:sz w:val="20"/>
        </w:rPr>
        <w:t>Strategic Management Journal, 40</w:t>
      </w:r>
      <w:r>
        <w:rPr>
          <w:rFonts w:ascii="Times New Roman" w:hAnsi="Times New Roman"/>
          <w:sz w:val="20"/>
        </w:rPr>
        <w:t>(3), 432–462. https://doi.org/10.1002/smj.2995</w:t>
      </w:r>
    </w:p>
    <w:p w:rsidR="00000000" w:rsidDel="00000000" w:rsidP="00000000" w:rsidRDefault="00000000" w:rsidRPr="00000000" w14:paraId="00000219">
      <w:pPr>
        <w:spacing w:after="60" w:line="360" w:lineRule="auto"/>
        <w:ind w:left="720" w:hanging="720"/>
        <w:jc w:val="left"/>
        <w:rPr/>
      </w:pPr>
      <w:r>
        <w:rPr>
          <w:rFonts w:ascii="Times New Roman" w:hAnsi="Times New Roman"/>
          <w:sz w:val="20"/>
        </w:rPr>
        <w:t xml:space="preserve">World Bank. (2024). </w:t>
      </w:r>
      <w:r>
        <w:rPr>
          <w:rFonts w:ascii="Times New Roman" w:hAnsi="Times New Roman"/>
          <w:i/>
          <w:sz w:val="20"/>
        </w:rPr>
        <w:t>World Bank Enterprise Survey: Singapore 2023</w:t>
      </w:r>
      <w:r>
        <w:rPr>
          <w:rFonts w:ascii="Times New Roman" w:hAnsi="Times New Roman"/>
          <w:sz w:val="20"/>
        </w:rPr>
        <w:t>. https://www.enterprisesurveys.org</w:t>
      </w:r>
    </w:p>
    <w:p w:rsidR="00000000" w:rsidDel="00000000" w:rsidP="00000000" w:rsidRDefault="00000000" w:rsidRPr="00000000" w14:paraId="0000021A">
      <w:pPr>
        <w:rPr/>
      </w:pPr>
      <w:r>
        <w:br w:type="page"/>
      </w:r>
      <w:r>
        <w:rPr>
          <w:rtl w:val="0"/>
        </w:rPr>
      </w:r>
    </w:p>
    <w:p w:rsidR="00000000" w:rsidDel="00000000" w:rsidP="00000000" w:rsidRDefault="00000000" w:rsidRPr="00000000" w14:paraId="0000021B">
      <w:pPr>
        <w:jc w:val="center"/>
        <w:rPr/>
      </w:pPr>
      <w:r>
        <w:rPr/>
        <w:drawing>
          <wp:inline distB="0" distT="0" distL="114300" distR="114300">
            <wp:extent cx="5029200" cy="33518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3351857"/>
                    </a:xfrm>
                    <a:prstGeom prst="rect"/>
                    <a:ln/>
                  </pic:spPr>
                </pic:pic>
              </a:graphicData>
            </a:graphic>
          </wp:inline>
        </w:drawing>
      </w:r>
      <w:r>
        <w:rPr>
          <w:rtl w:val="0"/>
        </w:rPr>
      </w:r>
    </w:p>
    <w:p w:rsidR="00000000" w:rsidDel="00000000" w:rsidP="00000000" w:rsidRDefault="00000000" w:rsidRPr="00000000" w14:paraId="0000021C">
      <w:pPr>
        <w:jc w:val="center"/>
        <w:rPr/>
      </w:pPr>
      <w:r>
        <w:rPr>
          <w:rFonts w:ascii="Cardo" w:cs="Cardo" w:eastAsia="Cardo" w:hAnsi="Cardo"/>
          <w:i w:val="1"/>
          <w:iCs w:val="1"/>
          <w:sz w:val="18"/>
          <w:szCs w:val="18"/>
          <w:rtl w:val="0"/>
        </w:rPr>
        <w:t>Figure 1. Conceptual model. Technological capability, digital adoption, and the internationalization–performance relationship in Singapore as an extreme-case, within-context setting of a digitally mature economy. Solid arrows denote direct associations (H1, H3); dashed arrows denote moderation associations (H2, H4). The moderation arrows should be read as acting on the internationalization–performance path rather than as direct antecedents of FSTS.</w:t>
      </w:r>
      <w:r>
        <w:rPr>
          <w:rtl w:val="0"/>
        </w:rPr>
      </w:r>
    </w:p>
    <w:p w:rsidR="00000000" w:rsidDel="00000000" w:rsidP="00000000" w:rsidRDefault="00000000" w:rsidRPr="00000000" w14:paraId="0000021D">
      <w:pPr>
        <w:rPr/>
      </w:pPr>
      <w:r>
        <w:br w:type="page"/>
      </w:r>
      <w:r>
        <w:rPr>
          <w:rtl w:val="0"/>
        </w:rPr>
      </w:r>
    </w:p>
    <w:p w:rsidR="00000000" w:rsidDel="00000000" w:rsidP="00000000" w:rsidRDefault="00000000" w:rsidRPr="00000000" w14:paraId="0000021E">
      <w:pPr>
        <w:jc w:val="center"/>
        <w:rPr/>
      </w:pPr>
      <w:r>
        <w:rPr/>
        <w:drawing>
          <wp:inline distB="0" distT="0" distL="114300" distR="114300">
            <wp:extent cx="5029200" cy="35447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3544736"/>
                    </a:xfrm>
                    <a:prstGeom prst="rect"/>
                    <a:ln/>
                  </pic:spPr>
                </pic:pic>
              </a:graphicData>
            </a:graphic>
          </wp:inline>
        </w:drawing>
      </w:r>
      <w:r>
        <w:rPr>
          <w:rtl w:val="0"/>
        </w:rPr>
      </w:r>
    </w:p>
    <w:p w:rsidR="00000000" w:rsidDel="00000000" w:rsidP="00000000" w:rsidRDefault="00000000" w:rsidRPr="00000000" w14:paraId="0000021F">
      <w:pPr>
        <w:jc w:val="center"/>
        <w:rPr/>
      </w:pPr>
      <w:r>
        <w:rPr>
          <w:rFonts w:ascii="Times New Roman" w:cs="Times New Roman" w:eastAsia="Times New Roman" w:hAnsi="Times New Roman"/>
          <w:i w:val="1"/>
          <w:iCs w:val="1"/>
          <w:sz w:val="18"/>
          <w:szCs w:val="18"/>
          <w:rtl w:val="0"/>
        </w:rPr>
        <w:t>Figure 2. 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rPr>
          <w:rtl w:val="0"/>
        </w:rPr>
      </w:r>
    </w:p>
    <w:p w:rsidR="00000000" w:rsidDel="00000000" w:rsidP="00000000" w:rsidRDefault="00000000" w:rsidRPr="00000000" w14:paraId="00000220">
      <w:pPr>
        <w:rPr/>
      </w:pPr>
      <w:r>
        <w:br w:type="page"/>
      </w:r>
      <w:r>
        <w:rPr>
          <w:rtl w:val="0"/>
        </w:rPr>
      </w:r>
    </w:p>
    <w:p w:rsidR="00000000" w:rsidDel="00000000" w:rsidP="00000000" w:rsidRDefault="00000000" w:rsidRPr="00000000" w14:paraId="00000221">
      <w:pPr>
        <w:jc w:val="center"/>
        <w:rPr/>
      </w:pPr>
      <w:r>
        <w:rPr/>
        <w:drawing>
          <wp:inline distB="0" distT="0" distL="114300" distR="114300">
            <wp:extent cx="5029200" cy="354644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546449"/>
                    </a:xfrm>
                    <a:prstGeom prst="rect"/>
                    <a:ln/>
                  </pic:spPr>
                </pic:pic>
              </a:graphicData>
            </a:graphic>
          </wp:inline>
        </w:drawing>
      </w:r>
      <w:r>
        <w:rPr>
          <w:rtl w:val="0"/>
        </w:rPr>
      </w:r>
    </w:p>
    <w:p w:rsidR="00000000" w:rsidDel="00000000" w:rsidP="00000000" w:rsidRDefault="00000000" w:rsidRPr="00000000" w14:paraId="00000222">
      <w:pPr>
        <w:jc w:val="center"/>
        <w:rPr/>
      </w:pPr>
      <w:r>
        <w:rPr>
          <w:rFonts w:ascii="Gungsuh" w:cs="Gungsuh" w:eastAsia="Gungsuh" w:hAnsi="Gungsuh"/>
          <w:i w:val="1"/>
          <w:iCs w:val="1"/>
          <w:sz w:val="18"/>
          <w:szCs w:val="18"/>
          <w:rtl w:val="0"/>
        </w:rPr>
        <w:t>Figure 3. Predicted internationalization–performance curve. Predicted relationship between export intensity and labour productivity with 95% confidence bands from the canonical quadratic specification (M2). The implied turning point occurs near FSTS = 82% on the original scale,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