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480"/>
        <w:jc w:val="center"/>
      </w:pPr>
      <w:r>
        <w:rPr>
          <w:rFonts w:ascii="Times New Roman" w:cs="Times New Roman" w:eastAsia="Times New Roman" w:hAnsi="Times New Roman"/>
          <w:b/>
          <w:bCs/>
          <w:sz w:val="36"/>
          <w:szCs w:val="36"/>
        </w:rPr>
        <w:t xml:space="preserve">P3 v5 — MIR Submission Package (Revised)</w:t>
      </w:r>
    </w:p>
    <w:p>
      <w:pPr>
        <w:spacing w:after="240"/>
        <w:jc w:val="center"/>
      </w:pPr>
      <w:r>
        <w:rPr>
          <w:rFonts w:ascii="Times New Roman" w:cs="Times New Roman" w:eastAsia="Times New Roman" w:hAnsi="Times New Roman"/>
          <w:i/>
          <w:iCs/>
          <w:sz w:val="22"/>
          <w:szCs w:val="22"/>
        </w:rPr>
        <w:t xml:space="preserve">Five-part document: Title Page • Cover Letter • Blinded Manuscript • Reviewer Defense • Audit Checklist</w:t>
      </w:r>
    </w:p>
    <w:p>
      <w:pPr>
        <w:spacing w:after="360"/>
        <w:jc w:val="center"/>
      </w:pPr>
      <w:r>
        <w:rPr>
          <w:rFonts w:ascii="Times New Roman" w:cs="Times New Roman" w:eastAsia="Times New Roman" w:hAnsi="Times New Roman"/>
          <w:color w:val="666666"/>
          <w:sz w:val="20"/>
          <w:szCs w:val="20"/>
        </w:rPr>
        <w:t xml:space="preserve">Build date: April 28, 2026 | Branch: huongctu/class-ai-agent | claude/verify-stata-results-So3mf</w:t>
      </w:r>
    </w:p>
    <w:p>
      <w:pPr>
        <w:spacing w:after="60" w:before="60" w:line="320" w:lineRule="auto"/>
        <w:jc w:val="left"/>
      </w:pPr>
      <w:r>
        <w:rPr>
          <w:rFonts w:ascii="Times New Roman" w:cs="Times New Roman" w:eastAsia="Times New Roman" w:hAnsi="Times New Roman"/>
          <w:i/>
          <w:iCs/>
          <w:color w:val="B22222"/>
          <w:sz w:val="18"/>
          <w:szCs w:val="18"/>
        </w:rPr>
        <w:t xml:space="preserve">Comprehensive revision per external reviewer-simulation feedback. Title aligned with TCI/DAI distinction (no umbrella term). H4 revised from U-shape to "more positive at higher export intensity". §4.4 retitled "evidence concentrated in high-export tail". §5.1 implications softened ("qualifies rather than overturns"). §6 Limitations expanded to 3 defensive paragraphs. §3.3 Methods adds associational-scope statement. Cross-paper context moved to footnote 1.</w:t>
      </w:r>
    </w:p>
    <w:p>
      <w:pPr>
        <w:pageBreakBefore/>
        <w:spacing w:after="480" w:before="240"/>
        <w:jc w:val="center"/>
      </w:pPr>
      <w:r>
        <w:rPr>
          <w:rFonts w:ascii="Times New Roman" w:cs="Times New Roman" w:eastAsia="Times New Roman" w:hAnsi="Times New Roman"/>
          <w:b/>
          <w:bCs/>
          <w:sz w:val="28"/>
          <w:szCs w:val="28"/>
        </w:rPr>
        <w:t xml:space="preserve">PART 1 — TITLE PAGE</w:t>
      </w:r>
    </w:p>
    <w:p>
      <w:pPr>
        <w:spacing w:after="360"/>
        <w:jc w:val="center"/>
      </w:pPr>
      <w:r>
        <w:rPr>
          <w:rFonts w:ascii="Times New Roman" w:cs="Times New Roman" w:eastAsia="Times New Roman" w:hAnsi="Times New Roman"/>
          <w:b/>
          <w:bCs/>
          <w:sz w:val="28"/>
          <w:szCs w:val="28"/>
        </w:rPr>
        <w:t xml:space="preserve">Technological Capability, Digital Adoption, and the Internationalization–Performance Relationship in Singapore</w:t>
      </w:r>
    </w:p>
    <w:p>
      <w:pPr>
        <w:spacing w:after="180" w:before="360"/>
        <w:jc w:val="left"/>
      </w:pPr>
      <w:r>
        <w:rPr>
          <w:rFonts w:ascii="Times New Roman" w:cs="Times New Roman" w:eastAsia="Times New Roman" w:hAnsi="Times New Roman"/>
          <w:b/>
          <w:bCs/>
          <w:sz w:val="22"/>
          <w:szCs w:val="22"/>
        </w:rPr>
        <w:t xml:space="preserve">Authors</w:t>
      </w:r>
    </w:p>
    <w:p>
      <w:pPr>
        <w:spacing w:after="0" w:line="480" w:lineRule="auto"/>
        <w:jc w:val="both"/>
      </w:pPr>
      <w:r>
        <w:rPr>
          <w:rFonts w:ascii="Times New Roman" w:cs="Times New Roman" w:eastAsia="Times New Roman" w:hAnsi="Times New Roman"/>
          <w:b/>
          <w:bCs/>
          <w:sz w:val="20"/>
          <w:szCs w:val="20"/>
        </w:rPr>
        <w:t xml:space="preserve">Đỗ Thùy Hương¹</w:t>
      </w:r>
    </w:p>
    <w:p>
      <w:pPr>
        <w:spacing w:after="0" w:line="480" w:lineRule="auto"/>
        <w:jc w:val="both"/>
      </w:pPr>
      <w:r>
        <w:rPr>
          <w:rFonts w:ascii="Times New Roman" w:cs="Times New Roman" w:eastAsia="Times New Roman" w:hAnsi="Times New Roman"/>
          <w:i/>
          <w:iCs/>
          <w:sz w:val="20"/>
          <w:szCs w:val="20"/>
        </w:rPr>
        <w:t xml:space="preserve">School of Economics, Can Tho University, 3/2 Street, Ninh Kieu District, Can Tho City, Vietnam</w:t>
      </w:r>
    </w:p>
    <w:p>
      <w:pPr>
        <w:spacing w:after="0" w:line="480" w:lineRule="auto"/>
        <w:jc w:val="both"/>
      </w:pPr>
      <w:r>
        <w:rPr>
          <w:rFonts w:ascii="Times New Roman" w:cs="Times New Roman" w:eastAsia="Times New Roman" w:hAnsi="Times New Roman"/>
          <w:sz w:val="20"/>
          <w:szCs w:val="20"/>
        </w:rPr>
        <w:t xml:space="preserve">ORCID: 0000-0002-7711-2487</w:t>
      </w:r>
    </w:p>
    <w:p>
      <w:pPr>
        <w:spacing w:after="0" w:line="480" w:lineRule="auto"/>
        <w:ind w:firstLine="720"/>
        <w:jc w:val="both"/>
      </w:pPr>
      <w:r>
        <w:rPr>
          <w:rFonts w:ascii="Times New Roman" w:cs="Times New Roman" w:eastAsia="Times New Roman" w:hAnsi="Times New Roman"/>
          <w:sz w:val="20"/>
          <w:szCs w:val="20"/>
        </w:rPr>
        <w:t xml:space="preserve"/>
      </w:r>
    </w:p>
    <w:p>
      <w:pPr>
        <w:spacing w:after="0" w:line="480" w:lineRule="auto"/>
        <w:jc w:val="both"/>
      </w:pPr>
      <w:r>
        <w:rPr>
          <w:rFonts w:ascii="Times New Roman" w:cs="Times New Roman" w:eastAsia="Times New Roman" w:hAnsi="Times New Roman"/>
          <w:b/>
          <w:bCs/>
          <w:sz w:val="20"/>
          <w:szCs w:val="20"/>
        </w:rPr>
        <w:t xml:space="preserve">Phan Anh Tú¹ (corresponding author)</w:t>
      </w:r>
    </w:p>
    <w:p>
      <w:pPr>
        <w:spacing w:after="0" w:line="480" w:lineRule="auto"/>
        <w:jc w:val="both"/>
      </w:pPr>
      <w:r>
        <w:rPr>
          <w:rFonts w:ascii="Times New Roman" w:cs="Times New Roman" w:eastAsia="Times New Roman" w:hAnsi="Times New Roman"/>
          <w:i/>
          <w:iCs/>
          <w:sz w:val="20"/>
          <w:szCs w:val="20"/>
        </w:rPr>
        <w:t xml:space="preserve">School of Economics, Can Tho University, 3/2 Street, Ninh Kieu District, Can Tho City, Vietnam</w:t>
      </w:r>
    </w:p>
    <w:p>
      <w:pPr>
        <w:spacing w:after="0" w:line="480" w:lineRule="auto"/>
        <w:jc w:val="both"/>
      </w:pPr>
      <w:r>
        <w:rPr>
          <w:rFonts w:ascii="Times New Roman" w:cs="Times New Roman" w:eastAsia="Times New Roman" w:hAnsi="Times New Roman"/>
          <w:sz w:val="20"/>
          <w:szCs w:val="20"/>
        </w:rPr>
        <w:t xml:space="preserve">Email: patu@ctu.edu.vn</w:t>
      </w:r>
    </w:p>
    <w:p>
      <w:pPr>
        <w:spacing w:after="0" w:line="480" w:lineRule="auto"/>
        <w:jc w:val="both"/>
      </w:pPr>
      <w:r>
        <w:rPr>
          <w:rFonts w:ascii="Times New Roman" w:cs="Times New Roman" w:eastAsia="Times New Roman" w:hAnsi="Times New Roman"/>
          <w:sz w:val="20"/>
          <w:szCs w:val="20"/>
        </w:rPr>
        <w:t xml:space="preserve">ORCID: 0000-0003-0667-3137</w:t>
      </w:r>
    </w:p>
    <w:p>
      <w:pPr>
        <w:spacing w:after="0" w:line="480" w:lineRule="auto"/>
        <w:jc w:val="both"/>
      </w:pPr>
      <w:r>
        <w:rPr>
          <w:rFonts w:ascii="Times New Roman" w:cs="Times New Roman" w:eastAsia="Times New Roman" w:hAnsi="Times New Roman"/>
          <w:i/>
          <w:iCs/>
          <w:sz w:val="18"/>
          <w:szCs w:val="18"/>
        </w:rPr>
        <w:t xml:space="preserve">¹Both authors affiliated with School of Economics, Can Tho University.</w:t>
      </w:r>
    </w:p>
    <w:p>
      <w:pPr>
        <w:spacing w:after="180" w:before="360"/>
        <w:jc w:val="left"/>
      </w:pPr>
      <w:r>
        <w:rPr>
          <w:rFonts w:ascii="Times New Roman" w:cs="Times New Roman" w:eastAsia="Times New Roman" w:hAnsi="Times New Roman"/>
          <w:b/>
          <w:bCs/>
          <w:sz w:val="22"/>
          <w:szCs w:val="22"/>
        </w:rPr>
        <w:t xml:space="preserve">Acknowledgments</w:t>
      </w:r>
    </w:p>
    <w:p>
      <w:pPr>
        <w:spacing w:after="0" w:line="480" w:lineRule="auto"/>
        <w:ind w:firstLine="720"/>
        <w:jc w:val="both"/>
      </w:pPr>
      <w:r>
        <w:rPr>
          <w:rFonts w:ascii="Times New Roman" w:cs="Times New Roman" w:eastAsia="Times New Roman" w:hAnsi="Times New Roman"/>
          <w:sz w:val="20"/>
          <w:szCs w:val="20"/>
        </w:rPr>
        <w:t xml:space="preserve">The authors thank the World Bank Enterprise Surveys (WBES) team for providing the firm-level microdata used in this analysis. The authors are also grateful to seminar participants at Can Tho University for valuable comments on earlier drafts.</w:t>
      </w:r>
    </w:p>
    <w:p>
      <w:pPr>
        <w:spacing w:after="180" w:before="360"/>
        <w:jc w:val="left"/>
      </w:pPr>
      <w:r>
        <w:rPr>
          <w:rFonts w:ascii="Times New Roman" w:cs="Times New Roman" w:eastAsia="Times New Roman" w:hAnsi="Times New Roman"/>
          <w:b/>
          <w:bCs/>
          <w:sz w:val="22"/>
          <w:szCs w:val="22"/>
        </w:rPr>
        <w:t xml:space="preserve">Statements and Declarations</w:t>
      </w:r>
    </w:p>
    <w:p>
      <w:pPr>
        <w:spacing w:after="0" w:line="480" w:lineRule="auto"/>
        <w:jc w:val="both"/>
      </w:pPr>
      <w:r>
        <w:rPr>
          <w:rFonts w:ascii="Times New Roman" w:cs="Times New Roman" w:eastAsia="Times New Roman" w:hAnsi="Times New Roman"/>
          <w:b/>
          <w:bCs/>
          <w:sz w:val="22"/>
          <w:szCs w:val="22"/>
        </w:rPr>
        <w:t xml:space="preserve">Funding</w:t>
      </w:r>
    </w:p>
    <w:p>
      <w:pPr>
        <w:spacing w:after="0" w:line="480" w:lineRule="auto"/>
        <w:ind w:firstLine="720"/>
        <w:jc w:val="both"/>
      </w:pPr>
      <w:r>
        <w:rPr>
          <w:rFonts w:ascii="Times New Roman" w:cs="Times New Roman" w:eastAsia="Times New Roman" w:hAnsi="Times New Roman"/>
          <w:sz w:val="20"/>
          <w:szCs w:val="20"/>
        </w:rPr>
        <w:t xml:space="preserve">No funding was received to assist with the preparation of this manuscript.</w:t>
      </w:r>
    </w:p>
    <w:p>
      <w:pPr>
        <w:spacing w:after="0" w:line="480" w:lineRule="auto"/>
        <w:jc w:val="both"/>
      </w:pPr>
      <w:r>
        <w:rPr>
          <w:rFonts w:ascii="Times New Roman" w:cs="Times New Roman" w:eastAsia="Times New Roman" w:hAnsi="Times New Roman"/>
          <w:b/>
          <w:bCs/>
          <w:sz w:val="22"/>
          <w:szCs w:val="22"/>
        </w:rPr>
        <w:t xml:space="preserve">Competing Interests</w:t>
      </w:r>
    </w:p>
    <w:p>
      <w:pPr>
        <w:spacing w:after="0" w:line="480" w:lineRule="auto"/>
        <w:ind w:firstLine="720"/>
        <w:jc w:val="both"/>
      </w:pPr>
      <w:r>
        <w:rPr>
          <w:rFonts w:ascii="Times New Roman" w:cs="Times New Roman" w:eastAsia="Times New Roman" w:hAnsi="Times New Roman"/>
          <w:sz w:val="20"/>
          <w:szCs w:val="20"/>
        </w:rPr>
        <w:t xml:space="preserve">The authors have no competing interests to declare that are relevant to the content of this article.</w:t>
      </w:r>
    </w:p>
    <w:p>
      <w:pPr>
        <w:spacing w:after="0" w:line="480" w:lineRule="auto"/>
        <w:jc w:val="both"/>
      </w:pPr>
      <w:r>
        <w:rPr>
          <w:rFonts w:ascii="Times New Roman" w:cs="Times New Roman" w:eastAsia="Times New Roman" w:hAnsi="Times New Roman"/>
          <w:b/>
          <w:bCs/>
          <w:sz w:val="22"/>
          <w:szCs w:val="22"/>
        </w:rPr>
        <w:t xml:space="preserve">Ethics Approval</w:t>
      </w:r>
    </w:p>
    <w:p>
      <w:pPr>
        <w:spacing w:after="0" w:line="480" w:lineRule="auto"/>
        <w:ind w:firstLine="720"/>
        <w:jc w:val="both"/>
      </w:pPr>
      <w:r>
        <w:rPr>
          <w:rFonts w:ascii="Times New Roman" w:cs="Times New Roman" w:eastAsia="Times New Roman" w:hAnsi="Times New Roman"/>
          <w:sz w:val="20"/>
          <w:szCs w:val="20"/>
        </w:rPr>
        <w:t xml:space="preserve">This study analyzes anonymized firm-level secondary data from the World Bank Enterprise Surveys, a publicly accessible dataset. Ethical approval was therefore not required as the analysis does not involve human subjects research.</w:t>
      </w:r>
    </w:p>
    <w:p>
      <w:pPr>
        <w:spacing w:after="0" w:line="480" w:lineRule="auto"/>
        <w:jc w:val="both"/>
      </w:pPr>
      <w:r>
        <w:rPr>
          <w:rFonts w:ascii="Times New Roman" w:cs="Times New Roman" w:eastAsia="Times New Roman" w:hAnsi="Times New Roman"/>
          <w:b/>
          <w:bCs/>
          <w:sz w:val="22"/>
          <w:szCs w:val="22"/>
        </w:rPr>
        <w:t xml:space="preserve">Data Availability</w:t>
      </w:r>
    </w:p>
    <w:p>
      <w:pPr>
        <w:spacing w:after="0" w:line="480" w:lineRule="auto"/>
        <w:ind w:firstLine="720"/>
        <w:jc w:val="both"/>
      </w:pPr>
      <w:r>
        <w:rPr>
          <w:rFonts w:ascii="Times New Roman" w:cs="Times New Roman" w:eastAsia="Times New Roman" w:hAnsi="Times New Roman"/>
          <w:sz w:val="20"/>
          <w:szCs w:val="20"/>
        </w:rPr>
        <w:t xml:space="preserve">The World Bank Enterprise Survey Singapore 2023 microdata used in this study are publicly available from the World Bank Enterprise Surveys data portal at https://www.enterprisesurveys.org. Replication code and derived analytic datasets supporting the findings of this study are available from the corresponding author on reasonable request.</w:t>
      </w:r>
    </w:p>
    <w:p>
      <w:pPr>
        <w:spacing w:after="0" w:line="480" w:lineRule="auto"/>
        <w:jc w:val="both"/>
      </w:pPr>
      <w:r>
        <w:rPr>
          <w:rFonts w:ascii="Times New Roman" w:cs="Times New Roman" w:eastAsia="Times New Roman" w:hAnsi="Times New Roman"/>
          <w:b/>
          <w:bCs/>
          <w:sz w:val="22"/>
          <w:szCs w:val="22"/>
        </w:rPr>
        <w:t xml:space="preserve">Code Availability</w:t>
      </w:r>
    </w:p>
    <w:p>
      <w:pPr>
        <w:spacing w:after="0" w:line="480" w:lineRule="auto"/>
        <w:ind w:firstLine="720"/>
        <w:jc w:val="both"/>
      </w:pPr>
      <w:r>
        <w:rPr>
          <w:rFonts w:ascii="Times New Roman" w:cs="Times New Roman" w:eastAsia="Times New Roman" w:hAnsi="Times New Roman"/>
          <w:sz w:val="20"/>
          <w:szCs w:val="20"/>
        </w:rPr>
        <w:t xml:space="preserve">Replication code is available from the corresponding author on reasonable request.</w:t>
      </w:r>
    </w:p>
    <w:p>
      <w:pPr>
        <w:spacing w:after="0" w:line="480" w:lineRule="auto"/>
        <w:jc w:val="both"/>
      </w:pPr>
      <w:r>
        <w:rPr>
          <w:rFonts w:ascii="Times New Roman" w:cs="Times New Roman" w:eastAsia="Times New Roman" w:hAnsi="Times New Roman"/>
          <w:b/>
          <w:bCs/>
          <w:sz w:val="22"/>
          <w:szCs w:val="22"/>
        </w:rPr>
        <w:t xml:space="preserve">Authors' Contributions (CRediT)</w:t>
      </w:r>
    </w:p>
    <w:p>
      <w:pPr>
        <w:spacing w:after="0" w:line="480" w:lineRule="auto"/>
        <w:ind w:firstLine="720"/>
        <w:jc w:val="both"/>
      </w:pPr>
      <w:r>
        <w:rPr>
          <w:rFonts w:ascii="Times New Roman" w:cs="Times New Roman" w:eastAsia="Times New Roman" w:hAnsi="Times New Roman"/>
          <w:sz w:val="20"/>
          <w:szCs w:val="20"/>
        </w:rPr>
        <w:t xml:space="preserve">Conceptualization: Đỗ Thùy Hương, Phan Anh Tú; Methodology: Đỗ Thùy Hương, Phan Anh Tú; Formal analysis and investigation: Đỗ Thùy Hương; Writing — original draft preparation: Đỗ Thùy Hương; Writing — review and editing: Đỗ Thùy Hương, Phan Anh Tú; Supervision: Phan Anh Tú.</w:t>
      </w:r>
    </w:p>
    <w:p>
      <w:pPr>
        <w:spacing w:after="0" w:line="480" w:lineRule="auto"/>
        <w:jc w:val="both"/>
      </w:pPr>
      <w:r>
        <w:rPr>
          <w:rFonts w:ascii="Times New Roman" w:cs="Times New Roman" w:eastAsia="Times New Roman" w:hAnsi="Times New Roman"/>
          <w:b/>
          <w:bCs/>
          <w:sz w:val="22"/>
          <w:szCs w:val="22"/>
        </w:rPr>
        <w:t xml:space="preserve">Use of Large Language Models</w:t>
      </w:r>
    </w:p>
    <w:p>
      <w:pPr>
        <w:spacing w:after="0" w:line="480" w:lineRule="auto"/>
        <w:ind w:firstLine="720"/>
        <w:jc w:val="both"/>
      </w:pPr>
      <w:r>
        <w:rPr>
          <w:rFonts w:ascii="Times New Roman" w:cs="Times New Roman" w:eastAsia="Times New Roman" w:hAnsi="Times New Roman"/>
          <w:sz w:val="20"/>
          <w:szCs w:val="20"/>
        </w:rPr>
        <w:t xml:space="preserve">The authors used Writefull (https://www.writefull.com) for AI-assisted copy editing of English-language wording, grammar, and style. No generative content was produced by AI tools; all substantive ideation, theoretical development, empirical analysis, and writing are the work of the authors.</w:t>
      </w:r>
    </w:p>
    <w:p>
      <w:pPr>
        <w:pageBreakBefore/>
        <w:spacing w:after="480" w:before="240"/>
        <w:jc w:val="center"/>
      </w:pPr>
      <w:r>
        <w:rPr>
          <w:rFonts w:ascii="Times New Roman" w:cs="Times New Roman" w:eastAsia="Times New Roman" w:hAnsi="Times New Roman"/>
          <w:b/>
          <w:bCs/>
          <w:sz w:val="28"/>
          <w:szCs w:val="28"/>
        </w:rPr>
        <w:t xml:space="preserve">PART 2 — COVER LETTER (separate file)</w:t>
      </w:r>
    </w:p>
    <w:p>
      <w:pPr>
        <w:spacing w:after="240"/>
        <w:jc w:val="right"/>
      </w:pPr>
      <w:r>
        <w:rPr>
          <w:rFonts w:ascii="Times New Roman" w:cs="Times New Roman" w:eastAsia="Times New Roman" w:hAnsi="Times New Roman"/>
          <w:sz w:val="22"/>
          <w:szCs w:val="22"/>
        </w:rPr>
        <w:t xml:space="preserve">[Date of submission]</w:t>
      </w:r>
    </w:p>
    <w:p>
      <w:pPr>
        <w:spacing w:after="0" w:line="480" w:lineRule="auto"/>
        <w:jc w:val="both"/>
      </w:pPr>
      <w:r>
        <w:rPr>
          <w:rFonts w:ascii="Times New Roman" w:cs="Times New Roman" w:eastAsia="Times New Roman" w:hAnsi="Times New Roman"/>
          <w:sz w:val="20"/>
          <w:szCs w:val="20"/>
        </w:rPr>
        <w:t xml:space="preserve">The Editor-in-Chief</w:t>
      </w:r>
    </w:p>
    <w:p>
      <w:pPr>
        <w:spacing w:after="0" w:line="480" w:lineRule="auto"/>
        <w:jc w:val="both"/>
      </w:pPr>
      <w:r>
        <w:rPr>
          <w:rFonts w:ascii="Times New Roman" w:cs="Times New Roman" w:eastAsia="Times New Roman" w:hAnsi="Times New Roman"/>
          <w:i/>
          <w:iCs/>
          <w:sz w:val="20"/>
          <w:szCs w:val="20"/>
        </w:rPr>
        <w:t xml:space="preserve">Management International Review</w:t>
      </w:r>
    </w:p>
    <w:p>
      <w:pPr>
        <w:spacing w:after="240" w:line="480" w:lineRule="auto"/>
        <w:jc w:val="both"/>
      </w:pPr>
      <w:r>
        <w:rPr>
          <w:rFonts w:ascii="Times New Roman" w:cs="Times New Roman" w:eastAsia="Times New Roman" w:hAnsi="Times New Roman"/>
          <w:sz w:val="20"/>
          <w:szCs w:val="20"/>
        </w:rPr>
        <w:t xml:space="preserve">Springer</w:t>
      </w:r>
    </w:p>
    <w:p>
      <w:pPr>
        <w:spacing w:after="240" w:line="480" w:lineRule="auto"/>
        <w:jc w:val="both"/>
      </w:pPr>
      <w:r>
        <w:rPr>
          <w:rFonts w:ascii="Times New Roman" w:cs="Times New Roman" w:eastAsia="Times New Roman" w:hAnsi="Times New Roman"/>
          <w:sz w:val="20"/>
          <w:szCs w:val="20"/>
        </w:rPr>
        <w:t xml:space="preserve">Dear Editor,</w:t>
      </w:r>
    </w:p>
    <w:p>
      <w:pPr>
        <w:spacing w:after="0" w:line="480" w:lineRule="auto"/>
        <w:ind w:firstLine="720"/>
        <w:jc w:val="both"/>
      </w:pPr>
      <w:r>
        <w:rPr>
          <w:rFonts w:ascii="Times New Roman" w:cs="Times New Roman" w:eastAsia="Times New Roman" w:hAnsi="Times New Roman"/>
          <w:sz w:val="20"/>
          <w:szCs w:val="20"/>
        </w:rPr>
        <w:t xml:space="preserve">We are pleased to submit our manuscript, "Technological Capability, Digital Adoption, and the Internationalization–Performance Relationship in Singapore," for consideration at Management International Review. This study examines whether technological capability and digital adoption play distinct roles in shaping the internationalization–performance relationship in a digitally mature economy, using World Bank Enterprise Survey microdata for Singapore 2023 (N = 623).</w:t>
      </w:r>
    </w:p>
    <w:p>
      <w:pPr>
        <w:spacing w:after="0" w:line="480" w:lineRule="auto"/>
        <w:ind w:firstLine="720"/>
        <w:jc w:val="both"/>
      </w:pPr>
      <w:r>
        <w:rPr>
          <w:rFonts w:ascii="Times New Roman" w:cs="Times New Roman" w:eastAsia="Times New Roman" w:hAnsi="Times New Roman"/>
          <w:sz w:val="20"/>
          <w:szCs w:val="20"/>
        </w:rPr>
        <w:t xml:space="preserve">The manuscript makes three contributions. First, it sharpens construct validity in digital-internationalization research by separating technological capability from digital adoption rather than combining them into a single digital-capability label. Second, it provides a firm-level test of the internationalization–performance relationship in Singapore and shows that the conventional inverted-U is not formally supported within the observed export-intensity range. Third, it presents evidence that digital adoption matters conditionally: its productivity relevance is concentrated among high-intensity exporters, suggesting that in a digital-frontier setting digital infrastructure may function less as a universal productivity premium and more as a scale-enabling complement at the upper end of internationalization.</w:t>
      </w:r>
    </w:p>
    <w:p>
      <w:pPr>
        <w:spacing w:after="0" w:line="480" w:lineRule="auto"/>
        <w:ind w:firstLine="720"/>
        <w:jc w:val="both"/>
      </w:pPr>
      <w:r>
        <w:rPr>
          <w:rFonts w:ascii="Times New Roman" w:cs="Times New Roman" w:eastAsia="Times New Roman" w:hAnsi="Times New Roman"/>
          <w:sz w:val="20"/>
          <w:szCs w:val="20"/>
        </w:rPr>
        <w:t xml:space="preserve">We believe the manuscript fits Management International Review because it engages directly with core international business questions concerning firm-specific advantages, institutional context, and boundary conditions on internationalization–performance relationships. The paper connects the internationalization–performance literature with recent work on digital adoption while maintaining a firm-level empirical focus that is well aligned with MIR’s audience.</w:t>
      </w:r>
    </w:p>
    <w:p>
      <w:pPr>
        <w:spacing w:after="0" w:line="480" w:lineRule="auto"/>
        <w:ind w:firstLine="720"/>
        <w:jc w:val="both"/>
      </w:pPr>
      <w:r>
        <w:rPr>
          <w:rFonts w:ascii="Times New Roman" w:cs="Times New Roman" w:eastAsia="Times New Roman" w:hAnsi="Times New Roman"/>
          <w:sz w:val="20"/>
          <w:szCs w:val="20"/>
        </w:rPr>
        <w:t xml:space="preserve">This manuscript is original, is not under consideration elsewhere, and has not been published previously in any form. The study uses anonymized secondary microdata from the World Bank Enterprise Surveys, and no ethics approval was required under institutional review conventions for non-human-subject secondary data analysis. We have no competing interests to declare, and no external funding was received for this research. We have used Writefull for AI-assisted copy editing only; no AI tools were used for ideation, analysis, or substantive writing.</w:t>
      </w:r>
    </w:p>
    <w:p>
      <w:pPr>
        <w:spacing w:after="0" w:line="480" w:lineRule="auto"/>
        <w:ind w:firstLine="720"/>
        <w:jc w:val="both"/>
      </w:pPr>
      <w:r>
        <w:rPr>
          <w:rFonts w:ascii="Times New Roman" w:cs="Times New Roman" w:eastAsia="Times New Roman" w:hAnsi="Times New Roman"/>
          <w:sz w:val="20"/>
          <w:szCs w:val="20"/>
        </w:rPr>
        <w:t xml:space="preserve">The World Bank Enterprise Survey Singapore 2023 microdata are publicly available through the World Bank Enterprise Surveys portal, and replication code and derived analytic materials are available from the corresponding author on reasonable request.</w:t>
      </w:r>
    </w:p>
    <w:p>
      <w:pPr>
        <w:spacing w:after="0" w:line="480" w:lineRule="auto"/>
        <w:ind w:firstLine="720"/>
        <w:jc w:val="both"/>
      </w:pPr>
      <w:r>
        <w:rPr>
          <w:rFonts w:ascii="Times New Roman" w:cs="Times New Roman" w:eastAsia="Times New Roman" w:hAnsi="Times New Roman"/>
          <w:sz w:val="20"/>
          <w:szCs w:val="20"/>
        </w:rPr>
        <w:t xml:space="preserve">Thank you for considering our manuscript for publication in Management International Review.</w:t>
      </w:r>
    </w:p>
    <w:p>
      <w:pPr>
        <w:spacing w:after="240" w:line="480" w:lineRule="auto"/>
        <w:jc w:val="both"/>
      </w:pPr>
      <w:r>
        <w:rPr>
          <w:rFonts w:ascii="Times New Roman" w:cs="Times New Roman" w:eastAsia="Times New Roman" w:hAnsi="Times New Roman"/>
          <w:sz w:val="20"/>
          <w:szCs w:val="20"/>
        </w:rPr>
        <w:t xml:space="preserve">Sincerely,</w:t>
      </w:r>
    </w:p>
    <w:p>
      <w:pPr>
        <w:spacing w:after="0" w:line="480" w:lineRule="auto"/>
        <w:jc w:val="both"/>
      </w:pPr>
      <w:r>
        <w:rPr>
          <w:rFonts w:ascii="Times New Roman" w:cs="Times New Roman" w:eastAsia="Times New Roman" w:hAnsi="Times New Roman"/>
          <w:sz w:val="20"/>
          <w:szCs w:val="20"/>
        </w:rPr>
        <w:t xml:space="preserve">Phan Anh Tú, Ph.D. (corresponding author)</w:t>
      </w:r>
    </w:p>
    <w:p>
      <w:pPr>
        <w:spacing w:after="0" w:line="480" w:lineRule="auto"/>
        <w:jc w:val="both"/>
      </w:pPr>
      <w:r>
        <w:rPr>
          <w:rFonts w:ascii="Times New Roman" w:cs="Times New Roman" w:eastAsia="Times New Roman" w:hAnsi="Times New Roman"/>
          <w:sz w:val="20"/>
          <w:szCs w:val="20"/>
        </w:rPr>
        <w:t xml:space="preserve">Đỗ Thùy Hương, Ph.D. Candidate</w:t>
      </w:r>
    </w:p>
    <w:p>
      <w:pPr>
        <w:spacing w:after="0" w:line="480" w:lineRule="auto"/>
        <w:jc w:val="both"/>
      </w:pPr>
      <w:r>
        <w:rPr>
          <w:rFonts w:ascii="Times New Roman" w:cs="Times New Roman" w:eastAsia="Times New Roman" w:hAnsi="Times New Roman"/>
          <w:i/>
          <w:iCs/>
          <w:sz w:val="20"/>
          <w:szCs w:val="20"/>
        </w:rPr>
        <w:t xml:space="preserve">School of Economics, Can Tho University, Vietnam</w:t>
      </w:r>
    </w:p>
    <w:p>
      <w:pPr>
        <w:spacing w:after="0" w:line="480" w:lineRule="auto"/>
        <w:jc w:val="both"/>
      </w:pPr>
      <w:r>
        <w:rPr>
          <w:rFonts w:ascii="Times New Roman" w:cs="Times New Roman" w:eastAsia="Times New Roman" w:hAnsi="Times New Roman"/>
          <w:sz w:val="20"/>
          <w:szCs w:val="20"/>
        </w:rPr>
        <w:t xml:space="preserve">Email: patu@ctu.edu.vn  |  ORCID: 0000-0003-0667-3137</w:t>
      </w:r>
    </w:p>
    <w:p>
      <w:pPr>
        <w:pageBreakBefore/>
        <w:spacing w:after="480" w:before="240"/>
        <w:jc w:val="center"/>
      </w:pPr>
      <w:r>
        <w:rPr>
          <w:rFonts w:ascii="Times New Roman" w:cs="Times New Roman" w:eastAsia="Times New Roman" w:hAnsi="Times New Roman"/>
          <w:b/>
          <w:bCs/>
          <w:sz w:val="28"/>
          <w:szCs w:val="28"/>
        </w:rPr>
        <w:t xml:space="preserve">PART 3 — BLINDED MANUSCRIPT</w:t>
      </w:r>
    </w:p>
    <w:p>
      <w:pPr>
        <w:spacing w:after="360"/>
        <w:jc w:val="center"/>
      </w:pPr>
      <w:r>
        <w:rPr>
          <w:rFonts w:ascii="Times New Roman" w:cs="Times New Roman" w:eastAsia="Times New Roman" w:hAnsi="Times New Roman"/>
          <w:b/>
          <w:bCs/>
          <w:sz w:val="26"/>
          <w:szCs w:val="26"/>
        </w:rPr>
        <w:t xml:space="preserve">Technological Capability, Digital Adoption, and the Internationalization–Performance Relationship in Singapore</w:t>
      </w:r>
    </w:p>
    <w:p>
      <w:pPr>
        <w:spacing w:after="60" w:before="60" w:line="320" w:lineRule="auto"/>
        <w:jc w:val="left"/>
      </w:pPr>
      <w:r>
        <w:rPr>
          <w:rFonts w:ascii="Times New Roman" w:cs="Times New Roman" w:eastAsia="Times New Roman" w:hAnsi="Times New Roman"/>
          <w:i/>
          <w:iCs/>
          <w:color w:val="B22222"/>
          <w:sz w:val="18"/>
          <w:szCs w:val="18"/>
        </w:rPr>
        <w:t xml:space="preserve">Blinded for double-anonymous review. Times New Roman 10pt double-spaced. All revisions per external reviewer-simulation feedback applied: title aligned with TCI/DAI distinction; H4 revised; §4.4 retitled "evidence concentrated in high-export tail"; §5 implications softened; cross-paper context moved to footnote.</w:t>
      </w:r>
    </w:p>
    <w:p>
      <w:pPr>
        <w:spacing w:after="240" w:before="480"/>
        <w:jc w:val="left"/>
      </w:pPr>
      <w:r>
        <w:rPr>
          <w:rFonts w:ascii="Times New Roman" w:cs="Times New Roman" w:eastAsia="Times New Roman" w:hAnsi="Times New Roman"/>
          <w:b/>
          <w:bCs/>
          <w:sz w:val="24"/>
          <w:szCs w:val="24"/>
        </w:rPr>
        <w:t xml:space="preserve">Abstract</w:t>
      </w:r>
    </w:p>
    <w:p>
      <w:pPr>
        <w:spacing w:after="0" w:line="480" w:lineRule="auto"/>
        <w:jc w:val="both"/>
      </w:pPr>
      <w:r>
        <w:rPr>
          <w:rFonts w:ascii="Times New Roman" w:cs="Times New Roman" w:eastAsia="Times New Roman" w:hAnsi="Times New Roman"/>
          <w:sz w:val="20"/>
          <w:szCs w:val="20"/>
        </w:rPr>
        <w:t xml:space="preserve">This study examines whether technological capability and digital adoption play distinct roles in shaping the internationalization–performance relationship in a digital-frontier economy. Using World Bank Enterprise Survey microdata for Singapore 2023 (N = 623), we develop a two-construct measurement architecture that separates a Technological Capability Index (TCI), anchored in Lall (1992), from a Digital Adoption Index (DAI), anchored in Bharadwaj et al. (2013) and Verhoef et al. (2021). TCI is positively associated with labour productivity but does not moderate the curvature of the internationalization–performance relationship. The baseline internationalization–performance pattern is best characterized as primarily monotonic with mild quadratic curvature within the observed export-intensity range, with no formal support for a conventional inverted-U. DAI shows evidence of curvilinear moderation, but this pattern is driven mainly by positive marginal effects among high-intensity exporters rather than by a statistically pronounced trough at intermediate export levels. The findings suggest that, in a digitally mature institutional environment, digital adoption may matter less as a general productivity premium and more as a scale-enabling complement for firms operating at high export intensity. The study contributes a more precise measurement architecture and an initial boundary-condition argument for internationalization research in digital-frontier settings.</w:t>
      </w:r>
    </w:p>
    <w:p>
      <w:pPr>
        <w:spacing w:after="60" w:before="60" w:line="320" w:lineRule="auto"/>
        <w:jc w:val="left"/>
      </w:pPr>
      <w:r>
        <w:rPr>
          <w:rFonts w:ascii="Times New Roman" w:cs="Times New Roman" w:eastAsia="Times New Roman" w:hAnsi="Times New Roman"/>
          <w:i/>
          <w:iCs/>
          <w:color w:val="B22222"/>
          <w:sz w:val="18"/>
          <w:szCs w:val="18"/>
        </w:rPr>
        <w:t xml:space="preserve">Word count abstract: 215 words. MIR allows 150-250.</w:t>
      </w:r>
    </w:p>
    <w:p>
      <w:pPr>
        <w:spacing w:after="0" w:line="480" w:lineRule="auto"/>
        <w:ind w:firstLine="720"/>
        <w:jc w:val="both"/>
      </w:pPr>
      <w:r>
        <w:rPr>
          <w:rFonts w:ascii="Times New Roman" w:cs="Times New Roman" w:eastAsia="Times New Roman" w:hAnsi="Times New Roman"/>
          <w:sz w:val="20"/>
          <w:szCs w:val="20"/>
        </w:rPr>
        <w:t xml:space="preserve"/>
      </w:r>
    </w:p>
    <w:p>
      <w:pPr>
        <w:spacing w:after="240" w:line="480" w:lineRule="auto"/>
        <w:jc w:val="both"/>
      </w:pPr>
      <w:r>
        <w:rPr>
          <w:rFonts w:ascii="Times New Roman" w:cs="Times New Roman" w:eastAsia="Times New Roman" w:hAnsi="Times New Roman"/>
          <w:b/>
          <w:bCs/>
          <w:sz w:val="20"/>
          <w:szCs w:val="20"/>
        </w:rPr>
        <w:t xml:space="preserve">Keywords: internationalization–performance; digital adoption; technological capability; boundary conditions; World Bank Enterprise Survey</w:t>
      </w:r>
    </w:p>
    <w:p>
      <w:pPr>
        <w:spacing w:after="60" w:before="60" w:line="320" w:lineRule="auto"/>
        <w:jc w:val="left"/>
      </w:pPr>
      <w:r>
        <w:rPr>
          <w:rFonts w:ascii="Times New Roman" w:cs="Times New Roman" w:eastAsia="Times New Roman" w:hAnsi="Times New Roman"/>
          <w:i/>
          <w:iCs/>
          <w:color w:val="B22222"/>
          <w:sz w:val="18"/>
          <w:szCs w:val="18"/>
        </w:rPr>
        <w:t xml:space="preserve">5 keywords; MIR allows 4-6.</w:t>
      </w:r>
    </w:p>
    <w:p>
      <w:pPr>
        <w:spacing w:after="240" w:before="480"/>
        <w:jc w:val="left"/>
      </w:pPr>
      <w:r>
        <w:rPr>
          <w:rFonts w:ascii="Times New Roman" w:cs="Times New Roman" w:eastAsia="Times New Roman" w:hAnsi="Times New Roman"/>
          <w:b/>
          <w:bCs/>
          <w:sz w:val="24"/>
          <w:szCs w:val="24"/>
        </w:rPr>
        <w:t xml:space="preserve">1 Introduction</w:t>
      </w:r>
    </w:p>
    <w:p>
      <w:pPr>
        <w:spacing w:after="180" w:before="360"/>
        <w:jc w:val="left"/>
      </w:pPr>
      <w:r>
        <w:rPr>
          <w:rFonts w:ascii="Times New Roman" w:cs="Times New Roman" w:eastAsia="Times New Roman" w:hAnsi="Times New Roman"/>
          <w:b/>
          <w:bCs/>
          <w:sz w:val="22"/>
          <w:szCs w:val="22"/>
        </w:rPr>
        <w:t xml:space="preserve">1.1 Hook</w:t>
      </w:r>
    </w:p>
    <w:p>
      <w:pPr>
        <w:spacing w:after="0" w:line="480" w:lineRule="auto"/>
        <w:ind w:firstLine="720"/>
        <w:jc w:val="both"/>
      </w:pPr>
      <w:r>
        <w:rPr>
          <w:rFonts w:ascii="Times New Roman" w:cs="Times New Roman" w:eastAsia="Times New Roman" w:hAnsi="Times New Roman"/>
          <w:sz w:val="20"/>
          <w:szCs w:val="20"/>
        </w:rPr>
        <w:t xml:space="preserve">Singapore is among the most digitally advanced economies in Asia: by 2023, more than 90% of Singaporean firms maintained a digital presence and over half processed customer payments digitally (World Bank, 2024). Yet the question of whether firm-level digital adoption translates into productivity returns at the export margin remains unsettled, particularly when firms scale into international markets. The internationalization–performance (I–P) literature has reached the modal finding of an inverted-U relationship (Hitt et al., 1997; Contractor et al., 2003; Lu &amp; Beamish, 2004), but this literature was developed on samples from pre-digital or transitional-digital economies and may not capture how the I–P curvature behaves when firms operate in a digitally mature institutional environment.</w:t>
      </w:r>
    </w:p>
    <w:p>
      <w:pPr>
        <w:spacing w:after="0" w:line="480" w:lineRule="auto"/>
        <w:ind w:firstLine="720"/>
        <w:jc w:val="both"/>
      </w:pPr>
      <w:r>
        <w:rPr>
          <w:rFonts w:ascii="Times New Roman" w:cs="Times New Roman" w:eastAsia="Times New Roman" w:hAnsi="Times New Roman"/>
          <w:sz w:val="20"/>
          <w:szCs w:val="20"/>
        </w:rPr>
        <w:t xml:space="preserve">In a digitally mature economy, two distinct firm-level capabilities operate simultaneously. Technological capability — firm-internal capability depth in R&amp;D, innovation, and quality — follows the Lall (1992) tradition. Digital adoption — firm participation in cross-border digital infrastructure and digital transactions — follows the Bharadwaj et al. (2013) digital strategy tradition. Whether these two capabilities play distinct or overlapping roles in shaping firm productivity at different stages of internationalization is, ex ante, an empirical question.</w:t>
      </w:r>
    </w:p>
    <w:p>
      <w:pPr>
        <w:spacing w:after="180" w:before="360"/>
        <w:jc w:val="left"/>
      </w:pPr>
      <w:r>
        <w:rPr>
          <w:rFonts w:ascii="Times New Roman" w:cs="Times New Roman" w:eastAsia="Times New Roman" w:hAnsi="Times New Roman"/>
          <w:b/>
          <w:bCs/>
          <w:sz w:val="22"/>
          <w:szCs w:val="22"/>
        </w:rPr>
        <w:t xml:space="preserve">1.2 Research gap</w:t>
      </w:r>
    </w:p>
    <w:p>
      <w:pPr>
        <w:spacing w:after="0" w:line="480" w:lineRule="auto"/>
        <w:ind w:firstLine="720"/>
        <w:jc w:val="both"/>
      </w:pPr>
      <w:r>
        <w:rPr>
          <w:rFonts w:ascii="Times New Roman" w:cs="Times New Roman" w:eastAsia="Times New Roman" w:hAnsi="Times New Roman"/>
          <w:sz w:val="20"/>
          <w:szCs w:val="20"/>
        </w:rPr>
        <w:t xml:space="preserve">Three gaps in the literature motivate our study. First, the dominant measurement approach has tended to conflate foundational digital adoption with broader technological capability, obscuring whether observed empirical patterns derive from firm-internal capability depth or firm–environment digital integration. Second, recent empirical work on digital internationalization has either pooled firms across heterogeneous institutional contexts (e.g., Banalieva &amp; Dhanaraj, 2019; Stallkamp &amp; Schotter, 2021) or focused on multinational subsamples, leaving the within-economy firm-level question — how digital adoption interacts with export intensity in a single, digitally mature institutional environment — under-examined. Third, the I–P curvature literature has documented inverted-U patterns extensively but has under-theorized how the underlying coordination-cost mechanism behaves in environments where cross-border digital infrastructure is mature.</w:t>
      </w:r>
    </w:p>
    <w:p>
      <w:pPr>
        <w:spacing w:after="180" w:before="360"/>
        <w:jc w:val="left"/>
      </w:pPr>
      <w:r>
        <w:rPr>
          <w:rFonts w:ascii="Times New Roman" w:cs="Times New Roman" w:eastAsia="Times New Roman" w:hAnsi="Times New Roman"/>
          <w:b/>
          <w:bCs/>
          <w:sz w:val="22"/>
          <w:szCs w:val="22"/>
        </w:rPr>
        <w:t xml:space="preserve">1.3 Contribution</w:t>
      </w:r>
    </w:p>
    <w:p>
      <w:pPr>
        <w:spacing w:after="0" w:line="480" w:lineRule="auto"/>
        <w:ind w:firstLine="720"/>
        <w:jc w:val="both"/>
      </w:pPr>
      <w:r>
        <w:rPr>
          <w:rFonts w:ascii="Times New Roman" w:cs="Times New Roman" w:eastAsia="Times New Roman" w:hAnsi="Times New Roman"/>
          <w:sz w:val="20"/>
          <w:szCs w:val="20"/>
        </w:rPr>
        <w:t xml:space="preserve">We make three contributions. First, we sharpen construct validity in digital-internationalization research by separating technological capability from digital adoption rather than combining them into a single digital-capability label. Second, we provide a firm-level test of the internationalization–performance relationship in Singapore using WBES 2023 microdata and show that the conventional inverted-U is not formally supported within the observed export-intensity range. Third, we present evidence that digital adoption matters conditionally: its productivity relevance is concentrated among high-intensity exporters, suggesting that digital infrastructure in a digital-frontier economy may function less as a universal firm-level premium and more as a scale-enabling complement at the upper end of internationalization.</w:t>
      </w:r>
    </w:p>
    <w:p>
      <w:pPr>
        <w:spacing w:after="180" w:before="360"/>
        <w:jc w:val="left"/>
      </w:pPr>
      <w:r>
        <w:rPr>
          <w:rFonts w:ascii="Times New Roman" w:cs="Times New Roman" w:eastAsia="Times New Roman" w:hAnsi="Times New Roman"/>
          <w:b/>
          <w:bCs/>
          <w:sz w:val="22"/>
          <w:szCs w:val="22"/>
        </w:rPr>
        <w:t xml:space="preserve">1.4 Roadmap</w:t>
      </w:r>
    </w:p>
    <w:p>
      <w:pPr>
        <w:spacing w:after="0" w:line="480" w:lineRule="auto"/>
        <w:ind w:firstLine="720"/>
        <w:jc w:val="both"/>
      </w:pPr>
      <w:r>
        <w:rPr>
          <w:rFonts w:ascii="Times New Roman" w:cs="Times New Roman" w:eastAsia="Times New Roman" w:hAnsi="Times New Roman"/>
          <w:sz w:val="20"/>
          <w:szCs w:val="20"/>
        </w:rPr>
        <w:t xml:space="preserve">Section 2 develops the theoretical framework and four hypotheses. Section 3 describes data and methods. Section 4 reports results. Section 5 discusses theoretical and managerial implications. Section 6 acknowledges limitations and future research directions.</w:t>
      </w:r>
    </w:p>
    <w:p>
      <w:pPr>
        <w:spacing w:after="240" w:before="480"/>
        <w:jc w:val="left"/>
      </w:pPr>
      <w:r>
        <w:rPr>
          <w:rFonts w:ascii="Times New Roman" w:cs="Times New Roman" w:eastAsia="Times New Roman" w:hAnsi="Times New Roman"/>
          <w:b/>
          <w:bCs/>
          <w:sz w:val="24"/>
          <w:szCs w:val="24"/>
        </w:rPr>
        <w:t xml:space="preserve">2 Theory and Hypotheses</w:t>
      </w:r>
    </w:p>
    <w:p>
      <w:pPr>
        <w:spacing w:after="180" w:before="360"/>
        <w:jc w:val="left"/>
      </w:pPr>
      <w:r>
        <w:rPr>
          <w:rFonts w:ascii="Times New Roman" w:cs="Times New Roman" w:eastAsia="Times New Roman" w:hAnsi="Times New Roman"/>
          <w:b/>
          <w:bCs/>
          <w:sz w:val="22"/>
          <w:szCs w:val="22"/>
        </w:rPr>
        <w:t xml:space="preserve">2.1 The internationalization–performance relationship</w:t>
      </w:r>
    </w:p>
    <w:p>
      <w:pPr>
        <w:spacing w:after="0" w:line="480" w:lineRule="auto"/>
        <w:ind w:firstLine="720"/>
        <w:jc w:val="both"/>
      </w:pPr>
      <w:r>
        <w:rPr>
          <w:rFonts w:ascii="Times New Roman" w:cs="Times New Roman" w:eastAsia="Times New Roman" w:hAnsi="Times New Roman"/>
          <w:sz w:val="20"/>
          <w:szCs w:val="20"/>
        </w:rPr>
        <w:t xml:space="preserve">The internationalization–performance (I–P) literature has produced extensive evidence of nonlinear relationships between the degree of internationalization and firm performance. Hitt et al. (1997) introduced the inverted-U logic: initial internationalization yields scale and learning benefits, but at high export intensities firms encounter cognitive and coordination ceilings that erode the returns to further expansion. Contractor et al. (2003) extended this logic to a three-stage S-curve, and Lu and Beamish (2004) refined the inverted-U with attention to firm size and age effects. The modal pattern across this literature is an inverted-U with a turning point in the 30%–60% foreign-sales-to-total-sales (FSTS) range.</w:t>
      </w:r>
    </w:p>
    <w:p>
      <w:pPr>
        <w:spacing w:after="0" w:line="480" w:lineRule="auto"/>
        <w:ind w:firstLine="720"/>
        <w:jc w:val="both"/>
      </w:pPr>
      <w:r>
        <w:rPr>
          <w:rFonts w:ascii="Times New Roman" w:cs="Times New Roman" w:eastAsia="Times New Roman" w:hAnsi="Times New Roman"/>
          <w:sz w:val="20"/>
          <w:szCs w:val="20"/>
        </w:rPr>
        <w:t xml:space="preserve">A boundary condition implicit in this literature, but rarely articulated, is that the inverted-U requires a coordination-cost mechanism that scales with internationalization intensity. If a firm operates in an institutional environment where coordination costs have already been substantially attenuated — for example, by mature cross-border digital infrastructure — the right-side decline of the inverted-U may be flattened or shifted to levels of internationalization that are sparsely represented in the observed FSTS distribution. Singapore is a natural setting in which to examine how these boundary conditions operate at the firm level.</w:t>
      </w:r>
    </w:p>
    <w:p>
      <w:pPr>
        <w:spacing w:after="180" w:before="360"/>
        <w:jc w:val="left"/>
      </w:pPr>
      <w:r>
        <w:rPr>
          <w:rFonts w:ascii="Times New Roman" w:cs="Times New Roman" w:eastAsia="Times New Roman" w:hAnsi="Times New Roman"/>
          <w:b/>
          <w:bCs/>
          <w:sz w:val="22"/>
          <w:szCs w:val="22"/>
        </w:rPr>
        <w:t xml:space="preserve">2.2 Two distinct constructs: TCI and DAI</w:t>
      </w:r>
    </w:p>
    <w:p>
      <w:pPr>
        <w:spacing w:after="0" w:line="480" w:lineRule="auto"/>
        <w:ind w:firstLine="720"/>
        <w:jc w:val="both"/>
      </w:pPr>
      <w:r>
        <w:rPr>
          <w:rFonts w:ascii="Times New Roman" w:cs="Times New Roman" w:eastAsia="Times New Roman" w:hAnsi="Times New Roman"/>
          <w:sz w:val="20"/>
          <w:szCs w:val="20"/>
        </w:rPr>
        <w:t xml:space="preserve">A natural conflation in the digital international business literature is to treat technological capability and digital adoption as facets of a single underlying construct. We argue against this conflation on theoretical, methodological, and empirical grounds. Theoretically, technological capability follows the Lall (1992) tradition and the Cohen and Levinthal (1990) absorptive-capacity logic, treating R&amp;D investment, product innovation, foreign technology licensing, and quality certification as indicators of endogenous, depth-oriented technological capability — a non-location-bound firm-specific advantage in the Rugman and Verbeke (2004) sense. Digital adoption follows the digital strategy and digital transformation literatures (Bharadwaj et al., 2013; Verhoef et al., 2021) and measures firm participation in digital infrastructure and digital transactions, an indicator more contingent on the maturity of the national digital ecosystem than on the firm itself. Methodologically, the two constructs satisfy the Coltman et al. (2008) four-criterion test for formative measurement and should not be combined into a single composite.</w:t>
      </w:r>
    </w:p>
    <w:p>
      <w:pPr>
        <w:spacing w:after="180" w:before="360"/>
        <w:jc w:val="left"/>
      </w:pPr>
      <w:r>
        <w:rPr>
          <w:rFonts w:ascii="Times New Roman" w:cs="Times New Roman" w:eastAsia="Times New Roman" w:hAnsi="Times New Roman"/>
          <w:b/>
          <w:bCs/>
          <w:sz w:val="22"/>
          <w:szCs w:val="22"/>
        </w:rPr>
        <w:t xml:space="preserve">2.3 Hypothesis development</w:t>
      </w:r>
    </w:p>
    <w:p>
      <w:pPr>
        <w:spacing w:after="120" w:before="240"/>
        <w:jc w:val="left"/>
      </w:pPr>
      <w:r>
        <w:rPr>
          <w:rFonts w:ascii="Times New Roman" w:cs="Times New Roman" w:eastAsia="Times New Roman" w:hAnsi="Times New Roman"/>
          <w:b/>
          <w:bCs/>
          <w:i/>
          <w:iCs/>
          <w:sz w:val="20"/>
          <w:szCs w:val="20"/>
        </w:rPr>
        <w:t xml:space="preserve">2.3.1 TCI direct effect on productivity</w:t>
      </w:r>
    </w:p>
    <w:p>
      <w:pPr>
        <w:spacing w:after="0" w:line="480" w:lineRule="auto"/>
        <w:ind w:firstLine="720"/>
        <w:jc w:val="both"/>
      </w:pPr>
      <w:r>
        <w:rPr>
          <w:rFonts w:ascii="Times New Roman" w:cs="Times New Roman" w:eastAsia="Times New Roman" w:hAnsi="Times New Roman"/>
          <w:sz w:val="20"/>
          <w:szCs w:val="20"/>
        </w:rPr>
        <w:t xml:space="preserve">Following the Lall (1992) capability tradition and the Cohen and Levinthal (1990) absorptive-capacity logic, firms with deeper technological capability should produce more output per unit of labour input regardless of internationalization stage. We therefore hypothesize:</w:t>
      </w:r>
    </w:p>
    <w:p>
      <w:pPr>
        <w:spacing w:after="240" w:before="240" w:line="480" w:lineRule="auto"/>
        <w:ind w:left="720" w:right="720"/>
        <w:jc w:val="both"/>
      </w:pPr>
      <w:r>
        <w:rPr>
          <w:rFonts w:ascii="Times New Roman" w:cs="Times New Roman" w:eastAsia="Times New Roman" w:hAnsi="Times New Roman"/>
          <w:b/>
          <w:bCs/>
          <w:sz w:val="20"/>
          <w:szCs w:val="20"/>
        </w:rPr>
        <w:t xml:space="preserve">Hypothesis 1 (H1) </w:t>
      </w:r>
      <w:r>
        <w:rPr>
          <w:rFonts w:ascii="Times New Roman" w:cs="Times New Roman" w:eastAsia="Times New Roman" w:hAnsi="Times New Roman"/>
          <w:i/>
          <w:iCs/>
          <w:sz w:val="20"/>
          <w:szCs w:val="20"/>
        </w:rPr>
        <w:t xml:space="preserve">Foundational technological capability (TCI) is positively associated with firm productivity in Singapore.</w:t>
      </w:r>
    </w:p>
    <w:p>
      <w:pPr>
        <w:spacing w:after="120" w:before="240"/>
        <w:jc w:val="left"/>
      </w:pPr>
      <w:r>
        <w:rPr>
          <w:rFonts w:ascii="Times New Roman" w:cs="Times New Roman" w:eastAsia="Times New Roman" w:hAnsi="Times New Roman"/>
          <w:b/>
          <w:bCs/>
          <w:i/>
          <w:iCs/>
          <w:sz w:val="20"/>
          <w:szCs w:val="20"/>
        </w:rPr>
        <w:t xml:space="preserve">2.3.2 TCI moderation of I–P null</w:t>
      </w:r>
    </w:p>
    <w:p>
      <w:pPr>
        <w:spacing w:after="0" w:line="480" w:lineRule="auto"/>
        <w:ind w:firstLine="720"/>
        <w:jc w:val="both"/>
      </w:pPr>
      <w:r>
        <w:rPr>
          <w:rFonts w:ascii="Times New Roman" w:cs="Times New Roman" w:eastAsia="Times New Roman" w:hAnsi="Times New Roman"/>
          <w:sz w:val="20"/>
          <w:szCs w:val="20"/>
        </w:rPr>
        <w:t xml:space="preserve">A subtler prediction emerges from Rugman and Verbeke’s (2004) NLB-FSA logic. Technological capabilities are firm-specific advantages that are recombinable across borders without significant adaptation cost. While TCI should raise the productivity intercept (H1), it should not interact with internationalization intensity to shift the I–P curvature.</w:t>
      </w:r>
    </w:p>
    <w:p>
      <w:pPr>
        <w:spacing w:after="240" w:before="240" w:line="480" w:lineRule="auto"/>
        <w:ind w:left="720" w:right="720"/>
        <w:jc w:val="both"/>
      </w:pPr>
      <w:r>
        <w:rPr>
          <w:rFonts w:ascii="Times New Roman" w:cs="Times New Roman" w:eastAsia="Times New Roman" w:hAnsi="Times New Roman"/>
          <w:b/>
          <w:bCs/>
          <w:sz w:val="20"/>
          <w:szCs w:val="20"/>
        </w:rPr>
        <w:t xml:space="preserve">Hypothesis 2 (H2) </w:t>
      </w:r>
      <w:r>
        <w:rPr>
          <w:rFonts w:ascii="Times New Roman" w:cs="Times New Roman" w:eastAsia="Times New Roman" w:hAnsi="Times New Roman"/>
          <w:i/>
          <w:iCs/>
          <w:sz w:val="20"/>
          <w:szCs w:val="20"/>
        </w:rPr>
        <w:t xml:space="preserve">Foundational technological capability (TCI) does not moderate the curvature of the internationalization–performance relationship in Singapore.</w:t>
      </w:r>
    </w:p>
    <w:p>
      <w:pPr>
        <w:spacing w:after="120" w:before="240"/>
        <w:jc w:val="left"/>
      </w:pPr>
      <w:r>
        <w:rPr>
          <w:rFonts w:ascii="Times New Roman" w:cs="Times New Roman" w:eastAsia="Times New Roman" w:hAnsi="Times New Roman"/>
          <w:b/>
          <w:bCs/>
          <w:i/>
          <w:iCs/>
          <w:sz w:val="20"/>
          <w:szCs w:val="20"/>
        </w:rPr>
        <w:t xml:space="preserve">2.3.3 DAI direct effect on productivity</w:t>
      </w:r>
    </w:p>
    <w:p>
      <w:pPr>
        <w:spacing w:after="0" w:line="480" w:lineRule="auto"/>
        <w:ind w:firstLine="720"/>
        <w:jc w:val="both"/>
      </w:pPr>
      <w:r>
        <w:rPr>
          <w:rFonts w:ascii="Times New Roman" w:cs="Times New Roman" w:eastAsia="Times New Roman" w:hAnsi="Times New Roman"/>
          <w:sz w:val="20"/>
          <w:szCs w:val="20"/>
        </w:rPr>
        <w:t xml:space="preserve">Digital adoption should generate productivity returns through reduced transaction costs, faster information flow, and broader market reach (Bharadwaj et al., 2013; Verhoef et al., 2021). At the digital frontier, where cross-border digital infrastructure is mature, these productivity returns should be readily realized at the direct effect level.</w:t>
      </w:r>
    </w:p>
    <w:p>
      <w:pPr>
        <w:spacing w:after="240" w:before="240" w:line="480" w:lineRule="auto"/>
        <w:ind w:left="720" w:right="720"/>
        <w:jc w:val="both"/>
      </w:pPr>
      <w:r>
        <w:rPr>
          <w:rFonts w:ascii="Times New Roman" w:cs="Times New Roman" w:eastAsia="Times New Roman" w:hAnsi="Times New Roman"/>
          <w:b/>
          <w:bCs/>
          <w:sz w:val="20"/>
          <w:szCs w:val="20"/>
        </w:rPr>
        <w:t xml:space="preserve">Hypothesis 3 (H3) </w:t>
      </w:r>
      <w:r>
        <w:rPr>
          <w:rFonts w:ascii="Times New Roman" w:cs="Times New Roman" w:eastAsia="Times New Roman" w:hAnsi="Times New Roman"/>
          <w:i/>
          <w:iCs/>
          <w:sz w:val="20"/>
          <w:szCs w:val="20"/>
        </w:rPr>
        <w:t xml:space="preserve">Foundational digital adoption (DAI) is positively associated with firm productivity in Singapore.</w:t>
      </w:r>
    </w:p>
    <w:p>
      <w:pPr>
        <w:spacing w:after="120" w:before="240"/>
        <w:jc w:val="left"/>
      </w:pPr>
      <w:r>
        <w:rPr>
          <w:rFonts w:ascii="Times New Roman" w:cs="Times New Roman" w:eastAsia="Times New Roman" w:hAnsi="Times New Roman"/>
          <w:b/>
          <w:bCs/>
          <w:i/>
          <w:iCs/>
          <w:sz w:val="20"/>
          <w:szCs w:val="20"/>
        </w:rPr>
        <w:t xml:space="preserve">2.3.4 DAI as a conditional complement to export intensity</w:t>
      </w:r>
    </w:p>
    <w:p>
      <w:pPr>
        <w:spacing w:after="0" w:line="480" w:lineRule="auto"/>
        <w:ind w:firstLine="720"/>
        <w:jc w:val="both"/>
      </w:pPr>
      <w:r>
        <w:rPr>
          <w:rFonts w:ascii="Times New Roman" w:cs="Times New Roman" w:eastAsia="Times New Roman" w:hAnsi="Times New Roman"/>
          <w:sz w:val="20"/>
          <w:szCs w:val="20"/>
        </w:rPr>
        <w:t xml:space="preserve">The most theoretically novel prediction concerns how digital adoption interacts with export intensity in a digitally mature institutional environment. In such settings, digital infrastructure may no longer generate a uniform productivity premium across all firms because basic digital functionality is already widely available. Its value may instead become more contingent on the scale and complexity of cross-border operations. Firms with high export intensity face greater coordination, transaction, and information-processing demands across markets, making digital adoption more valuable as a scale-enabling complement. By contrast, firms with low export intensity may realize weaker productivity benefits because they have fewer opportunities to amortize digital investments across international operations. The relationship is expected to be nonlinear, with digital adoption’s productivity returns concentrated at the upper end of internationalization rather than uniformly distributed across export intensity. We therefore hypothesize:</w:t>
      </w:r>
    </w:p>
    <w:p>
      <w:pPr>
        <w:spacing w:after="240" w:before="240" w:line="480" w:lineRule="auto"/>
        <w:ind w:left="720" w:right="720"/>
        <w:jc w:val="both"/>
      </w:pPr>
      <w:r>
        <w:rPr>
          <w:rFonts w:ascii="Times New Roman" w:cs="Times New Roman" w:eastAsia="Times New Roman" w:hAnsi="Times New Roman"/>
          <w:b/>
          <w:bCs/>
          <w:sz w:val="20"/>
          <w:szCs w:val="20"/>
        </w:rPr>
        <w:t xml:space="preserve">Hypothesis 4 (H4) </w:t>
      </w:r>
      <w:r>
        <w:rPr>
          <w:rFonts w:ascii="Times New Roman" w:cs="Times New Roman" w:eastAsia="Times New Roman" w:hAnsi="Times New Roman"/>
          <w:i/>
          <w:iCs/>
          <w:sz w:val="20"/>
          <w:szCs w:val="20"/>
        </w:rPr>
        <w:t xml:space="preserve">The association between digital adoption (DAI) and firm productivity becomes more positive at higher levels of export intensity in Singapore.</w:t>
      </w:r>
    </w:p>
    <w:p>
      <w:pPr>
        <w:spacing w:after="240" w:before="480"/>
        <w:jc w:val="left"/>
      </w:pPr>
      <w:r>
        <w:rPr>
          <w:rFonts w:ascii="Times New Roman" w:cs="Times New Roman" w:eastAsia="Times New Roman" w:hAnsi="Times New Roman"/>
          <w:b/>
          <w:bCs/>
          <w:sz w:val="24"/>
          <w:szCs w:val="24"/>
        </w:rPr>
        <w:t xml:space="preserve">3 Methods</w:t>
      </w:r>
    </w:p>
    <w:p>
      <w:pPr>
        <w:spacing w:after="180" w:before="360"/>
        <w:jc w:val="left"/>
      </w:pPr>
      <w:r>
        <w:rPr>
          <w:rFonts w:ascii="Times New Roman" w:cs="Times New Roman" w:eastAsia="Times New Roman" w:hAnsi="Times New Roman"/>
          <w:b/>
          <w:bCs/>
          <w:sz w:val="22"/>
          <w:szCs w:val="22"/>
        </w:rPr>
        <w:t xml:space="preserve">3.1 Data</w:t>
      </w:r>
    </w:p>
    <w:p>
      <w:pPr>
        <w:spacing w:after="0" w:line="480" w:lineRule="auto"/>
        <w:ind w:firstLine="720"/>
        <w:jc w:val="both"/>
      </w:pPr>
      <w:r>
        <w:rPr>
          <w:rFonts w:ascii="Times New Roman" w:cs="Times New Roman" w:eastAsia="Times New Roman" w:hAnsi="Times New Roman"/>
          <w:sz w:val="20"/>
          <w:szCs w:val="20"/>
        </w:rPr>
        <w:t xml:space="preserve">We use the World Bank Enterprise Survey (WBES) Singapore 2023 wave, the most recent firm-level microdata available for Singapore. The WBES 2023 wave was administered under the B-READY methodology, which expanded the digital-adoption module to include items on electronic payment penetration. After listwise deletion on focal variables, the analytic sample is N = 623 firms across all major sectors. Eighteen percent of firms in the sample have non-zero exports (FSTS &gt; 0), and 3% have FSTS exceeding 50%.</w:t>
      </w:r>
    </w:p>
    <w:p>
      <w:pPr>
        <w:spacing w:after="60" w:before="60" w:line="320" w:lineRule="auto"/>
        <w:jc w:val="left"/>
      </w:pPr>
      <w:r>
        <w:rPr>
          <w:rFonts w:ascii="Times New Roman" w:hAnsi="Times New Roman"/>
          <w:sz w:val="22"/>
        </w:rPr>
        <w:t>The analytic sample comprises 623 manufacturing and service firms from the 2023 Singapore Enterprise Survey. Approximately 18% of firms report positive direct exports (FSTS &gt; 0), with a mean export intensity of 4.7% (SD = 15.4%). The median firm has 20 employees and has been operating for 14 years. Foreign-owned firms constitute 31.5% of the sample. See Table 1 for full descriptive statistics and correlations.</w:t>
      </w:r>
    </w:p>
    <w:p>
      <w:pPr>
        <w:spacing w:after="180" w:before="360"/>
        <w:jc w:val="left"/>
      </w:pPr>
      <w:r>
        <w:rPr>
          <w:rFonts w:ascii="Times New Roman" w:cs="Times New Roman" w:eastAsia="Times New Roman" w:hAnsi="Times New Roman"/>
          <w:b/>
          <w:bCs/>
          <w:sz w:val="22"/>
          <w:szCs w:val="22"/>
        </w:rPr>
        <w:t xml:space="preserve">3.2 Variables</w:t>
      </w:r>
    </w:p>
    <w:p>
      <w:pPr>
        <w:spacing w:after="120" w:before="240"/>
        <w:jc w:val="left"/>
      </w:pPr>
      <w:r>
        <w:rPr>
          <w:rFonts w:ascii="Times New Roman" w:cs="Times New Roman" w:eastAsia="Times New Roman" w:hAnsi="Times New Roman"/>
          <w:b/>
          <w:bCs/>
          <w:i/>
          <w:iCs/>
          <w:sz w:val="20"/>
          <w:szCs w:val="20"/>
        </w:rPr>
        <w:t xml:space="preserve">3.2.1 Dependent variable</w:t>
      </w:r>
    </w:p>
    <w:p>
      <w:pPr>
        <w:spacing w:after="0" w:line="480" w:lineRule="auto"/>
        <w:ind w:firstLine="720"/>
        <w:jc w:val="both"/>
      </w:pPr>
      <w:r>
        <w:rPr>
          <w:rFonts w:ascii="Times New Roman" w:cs="Times New Roman" w:eastAsia="Times New Roman" w:hAnsi="Times New Roman"/>
          <w:sz w:val="20"/>
          <w:szCs w:val="20"/>
        </w:rPr>
        <w:t xml:space="preserve">Labour productivity is measured as ln(annual sales / full-time employees), constructed from WBES items d2 (annual sales) and l1 (full-time employees), following Krammer et al. (2018).</w:t>
      </w:r>
    </w:p>
    <w:p>
      <w:pPr>
        <w:spacing w:after="120" w:before="240"/>
        <w:jc w:val="left"/>
      </w:pPr>
      <w:r>
        <w:rPr>
          <w:rFonts w:ascii="Times New Roman" w:cs="Times New Roman" w:eastAsia="Times New Roman" w:hAnsi="Times New Roman"/>
          <w:b/>
          <w:bCs/>
          <w:i/>
          <w:iCs/>
          <w:sz w:val="20"/>
          <w:szCs w:val="20"/>
        </w:rPr>
        <w:t xml:space="preserve">3.2.2 Focal independent variable: FSTS</w:t>
      </w:r>
    </w:p>
    <w:p>
      <w:pPr>
        <w:spacing w:after="0" w:line="480" w:lineRule="auto"/>
        <w:ind w:firstLine="720"/>
        <w:jc w:val="both"/>
      </w:pPr>
      <w:r>
        <w:rPr>
          <w:rFonts w:ascii="Times New Roman" w:cs="Times New Roman" w:eastAsia="Times New Roman" w:hAnsi="Times New Roman"/>
          <w:sz w:val="20"/>
          <w:szCs w:val="20"/>
        </w:rPr>
        <w:t xml:space="preserve">Foreign-sales-to-total-sales (FSTS) is the proportion of annual sales from direct exports, derived from WBES item d3c and rescaled to the [0, 1] interval. FSTS is mean-centered before squaring (Aiken &amp; West, 1991) to mitigate multicollinearity with the linear term.</w:t>
      </w:r>
    </w:p>
    <w:p>
      <w:pPr>
        <w:spacing w:after="120" w:before="240"/>
        <w:jc w:val="left"/>
      </w:pPr>
      <w:r>
        <w:rPr>
          <w:rFonts w:ascii="Times New Roman" w:cs="Times New Roman" w:eastAsia="Times New Roman" w:hAnsi="Times New Roman"/>
          <w:b/>
          <w:bCs/>
          <w:i/>
          <w:iCs/>
          <w:sz w:val="20"/>
          <w:szCs w:val="20"/>
        </w:rPr>
        <w:t xml:space="preserve">3.2.3 TCI and DAI composites</w:t>
      </w:r>
    </w:p>
    <w:p>
      <w:pPr>
        <w:spacing w:after="0" w:line="480" w:lineRule="auto"/>
        <w:ind w:firstLine="720"/>
        <w:jc w:val="both"/>
      </w:pPr>
      <w:r>
        <w:rPr>
          <w:rFonts w:ascii="Times New Roman" w:cs="Times New Roman" w:eastAsia="Times New Roman" w:hAnsi="Times New Roman"/>
          <w:sz w:val="20"/>
          <w:szCs w:val="20"/>
        </w:rPr>
        <w:t xml:space="preserve">TCI (full specification) is constructed as the equal-weighted average of four standardized binary indicators: foreign-licensed technology (e6), product innovation in the last three years (h1), R&amp;D spending (h8), and ISO/quality certification (b8). DAI (rich specification) is constructed as the equal-weighted average of three standardized indicators: website or digital presence (c22b), percentage of sales received via electronic payment (k33), and percentage of supplier payments via electronic payment (k38), with continuous percentage items rescaled to [0, 1] before standardization. Both composites are re-standardized after averaging, following Krammer et al. (2018) and Avenyo et al. (2021). All coefficients on TCI and DAI are interpreted per one standard deviation increase in the composite.</w:t>
      </w:r>
    </w:p>
    <w:p>
      <w:pPr>
        <w:spacing w:after="120" w:before="240"/>
        <w:jc w:val="left"/>
      </w:pPr>
      <w:r>
        <w:rPr>
          <w:rFonts w:ascii="Times New Roman" w:cs="Times New Roman" w:eastAsia="Times New Roman" w:hAnsi="Times New Roman"/>
          <w:b/>
          <w:bCs/>
          <w:i/>
          <w:iCs/>
          <w:sz w:val="20"/>
          <w:szCs w:val="20"/>
        </w:rPr>
        <w:t xml:space="preserve">3.2.4 Controls</w:t>
      </w:r>
    </w:p>
    <w:p>
      <w:pPr>
        <w:spacing w:after="0" w:line="480" w:lineRule="auto"/>
        <w:ind w:firstLine="720"/>
        <w:jc w:val="both"/>
      </w:pPr>
      <w:r>
        <w:rPr>
          <w:rFonts w:ascii="Times New Roman" w:cs="Times New Roman" w:eastAsia="Times New Roman" w:hAnsi="Times New Roman"/>
          <w:sz w:val="20"/>
          <w:szCs w:val="20"/>
        </w:rPr>
        <w:t xml:space="preserve">We control for firm size (ln_empl), firm age (year of survey minus year of establishment from WBES item b5), and foreign-ownership status (binary, derived from WBES item b2b). Manager experience (b6), originally considered as a control, was dropped after a variance-inflation-factor diagnostic revealed severe collinearity with ln_empl (VIF = 6.11 before drop, 1.13 after; threshold for moderate concern is 5 per O’Brien, 2007).</w:t>
      </w:r>
    </w:p>
    <w:p>
      <w:pPr>
        <w:spacing w:after="180" w:before="360"/>
        <w:jc w:val="left"/>
      </w:pPr>
      <w:r>
        <w:rPr>
          <w:rFonts w:ascii="Times New Roman" w:cs="Times New Roman" w:eastAsia="Times New Roman" w:hAnsi="Times New Roman"/>
          <w:b/>
          <w:bCs/>
          <w:sz w:val="22"/>
          <w:szCs w:val="22"/>
        </w:rPr>
        <w:t xml:space="preserve">3.3 Estimation strategy and identification scope</w:t>
      </w:r>
    </w:p>
    <w:p>
      <w:pPr>
        <w:spacing w:after="0" w:line="480" w:lineRule="auto"/>
        <w:ind w:firstLine="720"/>
        <w:jc w:val="both"/>
      </w:pPr>
      <w:r>
        <w:rPr>
          <w:rFonts w:ascii="Times New Roman" w:cs="Times New Roman" w:eastAsia="Times New Roman" w:hAnsi="Times New Roman"/>
          <w:sz w:val="20"/>
          <w:szCs w:val="20"/>
        </w:rPr>
        <w:t xml:space="preserve">We estimate ordinary-least-squares regressions with HC1 robust standard errors throughout (MacKinnon &amp; White, 1985). Models are nested progressively from controls-only (M0) through the full specification (M8). The full M8 specification is:</w:t>
      </w:r>
    </w:p>
    <w:p>
      <w:pPr>
        <w:spacing w:after="0" w:line="480" w:lineRule="auto"/>
        <w:jc w:val="both"/>
      </w:pPr>
      <w:r>
        <w:rPr>
          <w:rFonts w:ascii="Times New Roman" w:cs="Times New Roman" w:eastAsia="Times New Roman" w:hAnsi="Times New Roman"/>
          <w:i/>
          <w:iCs/>
          <w:sz w:val="20"/>
          <w:szCs w:val="20"/>
        </w:rPr>
        <w:t xml:space="preserve">ln(LP) = α + β₁·FSTS_c + β₂·FSTS_c² + β₃·TCI + β₄·DAI + β₅·(FSTS_c × DAI) + β₆·(FSTS_c² × DAI) + γ·controls + ε,</w:t>
      </w:r>
    </w:p>
    <w:p>
      <w:pPr>
        <w:spacing w:after="0" w:line="480" w:lineRule="auto"/>
        <w:ind w:firstLine="720"/>
        <w:jc w:val="both"/>
      </w:pPr>
      <w:r>
        <w:rPr>
          <w:rFonts w:ascii="Times New Roman" w:cs="Times New Roman" w:eastAsia="Times New Roman" w:hAnsi="Times New Roman"/>
          <w:sz w:val="20"/>
          <w:szCs w:val="20"/>
        </w:rPr>
        <w:t xml:space="preserve">where FSTS_c is mean-centered FSTS, FSTS_c² its square, and TCI and DAI are z-scored composites. To assess the inverted-U formally, we apply the Lind and Mehlum (2010) U-test. To assess the joint significance of DAI moderation, we apply an F-test of β₅ = β₆ = 0. We report Cohen’s f² as effect-size measure.</w:t>
      </w:r>
    </w:p>
    <w:p>
      <w:pPr>
        <w:spacing w:after="0" w:line="480" w:lineRule="auto"/>
        <w:ind w:firstLine="720"/>
        <w:jc w:val="both"/>
      </w:pPr>
      <w:r>
        <w:rPr>
          <w:rFonts w:ascii="Times New Roman" w:cs="Times New Roman" w:eastAsia="Times New Roman" w:hAnsi="Times New Roman"/>
          <w:sz w:val="20"/>
          <w:szCs w:val="20"/>
        </w:rPr>
        <w:t xml:space="preserve">Our identification scope is associational rather than causal. The cross-sectional WBES Singapore 2023 design cannot rule out reverse causation or omitted-variable bias. Highly productive firms may be more likely to invest in digital infrastructure and to expand into international markets, which would induce a positive association between digital adoption, export intensity, and labour productivity even in the absence of a productivity-enhancing causal channel. We therefore use the language of "association" and "consistency with" throughout the manuscript, and we restrict our interpretive scope to firm-level patterns observed in this single cross-section. We discuss these limitations more fully in Section 6.</w:t>
      </w:r>
    </w:p>
    <w:p>
      <w:pPr>
        <w:spacing w:after="240" w:before="480"/>
        <w:jc w:val="left"/>
      </w:pPr>
      <w:r>
        <w:rPr>
          <w:rFonts w:ascii="Times New Roman" w:cs="Times New Roman" w:eastAsia="Times New Roman" w:hAnsi="Times New Roman"/>
          <w:b/>
          <w:bCs/>
          <w:sz w:val="24"/>
          <w:szCs w:val="24"/>
        </w:rPr>
        <w:t xml:space="preserve">4 Results</w:t>
      </w:r>
    </w:p>
    <w:p>
      <w:pPr>
        <w:spacing w:after="180" w:before="360"/>
        <w:jc w:val="left"/>
      </w:pPr>
      <w:r>
        <w:rPr>
          <w:rFonts w:ascii="Times New Roman" w:cs="Times New Roman" w:eastAsia="Times New Roman" w:hAnsi="Times New Roman"/>
          <w:b/>
          <w:bCs/>
          <w:sz w:val="22"/>
          <w:szCs w:val="22"/>
        </w:rPr>
        <w:t xml:space="preserve">4.1 Descriptive statistics</w:t>
      </w:r>
    </w:p>
    <w:p>
      <w:pPr>
        <w:spacing w:after="60" w:before="60" w:line="320" w:lineRule="auto"/>
        <w:jc w:val="left"/>
      </w:pPr>
    </w:p>
    <w:p>
      <w:pPr>
        <w:spacing w:after="180" w:before="360"/>
        <w:jc w:val="left"/>
      </w:pPr>
      <w:r>
        <w:rPr>
          <w:rFonts w:ascii="Times New Roman" w:cs="Times New Roman" w:eastAsia="Times New Roman" w:hAnsi="Times New Roman"/>
          <w:b/>
          <w:bCs/>
          <w:sz w:val="22"/>
          <w:szCs w:val="22"/>
        </w:rPr>
        <w:t xml:space="preserve">4.2 The I–P relationship: primarily monotonic with mild curvature</w:t>
      </w:r>
    </w:p>
    <w:p>
      <w:pPr>
        <w:spacing w:after="0" w:line="480" w:lineRule="auto"/>
        <w:ind w:firstLine="720"/>
        <w:jc w:val="both"/>
      </w:pPr>
      <w:r>
        <w:rPr>
          <w:rFonts w:ascii="Times New Roman" w:cs="Times New Roman" w:eastAsia="Times New Roman" w:hAnsi="Times New Roman"/>
          <w:sz w:val="20"/>
          <w:szCs w:val="20"/>
        </w:rPr>
        <w:t xml:space="preserve">In the M2 inverted-U baseline specification, the linear FSTS term is strongly positive (β = +3.490, SE = 0.903, p &lt; .001) and the quadratic FSTS² term is marginally negative (β = −2.103, SE = 1.087, p = .053). The implied apparent turning point lies at FSTS ≈ 83%, beyond most of the empirical FSTS distribution (the 99th percentile of FSTS in the sample is approximately 90%). The Lind and Mehlum (2010) joint U-test fails to reject the null of monotonicity (p = .301). Following Haans et al. (2016), we therefore characterize the I–P relationship as primarily monotonic positive with mild quadratic curvature rather than as a confirmed inverted-U. This finding qualifies the modal inverted-U pattern documented in earlier I–P literature within the specific context of a digital-frontier economy: when cross-border coordination costs have been substantially attenuated by mature digital infrastructure, the right-side decline of the I–P curve is flattened or shifted to levels of export intensity that are sparsely represented in the observed sample.</w:t>
      </w:r>
    </w:p>
    <w:p>
      <w:pPr>
        <w:spacing w:after="180" w:before="360"/>
        <w:jc w:val="left"/>
      </w:pPr>
      <w:r>
        <w:rPr>
          <w:rFonts w:ascii="Times New Roman" w:cs="Times New Roman" w:eastAsia="Times New Roman" w:hAnsi="Times New Roman"/>
          <w:b/>
          <w:bCs/>
          <w:sz w:val="22"/>
          <w:szCs w:val="22"/>
        </w:rPr>
        <w:t xml:space="preserve">4.3 TCI direct effect supports H1; TCI moderation null supports H2</w:t>
      </w:r>
    </w:p>
    <w:p>
      <w:pPr>
        <w:spacing w:after="0" w:line="480" w:lineRule="auto"/>
        <w:ind w:firstLine="720"/>
        <w:jc w:val="both"/>
      </w:pPr>
      <w:r>
        <w:rPr>
          <w:rFonts w:ascii="Times New Roman" w:cs="Times New Roman" w:eastAsia="Times New Roman" w:hAnsi="Times New Roman"/>
          <w:sz w:val="20"/>
          <w:szCs w:val="20"/>
        </w:rPr>
        <w:t xml:space="preserve">In Model M5 (M2 + TCI direct), TCI exerts a positive and strongly significant direct effect on labour productivity (β_z = 0.200, SE = 0.042, p &lt; .001), supporting H1. R² increases from .162 in M2 to .191 in M5. In Model M3 (M2 + TCI direct + TCI moderation), the TCI direct effect remains significant (β_z = 0.191, p &lt; .001), and the TCI moderation terms (FSTS × TCI and FSTS² × TCI) are jointly insignificant, supporting H2. TCI raises the productivity intercept regardless of internationalization stage but does not shift the I–P curvature, consistent with the Rugman and Verbeke (2004) NLB-FSA recombinability prediction.</w:t>
      </w:r>
    </w:p>
    <w:p>
      <w:pPr>
        <w:spacing w:after="180" w:before="360"/>
        <w:jc w:val="left"/>
      </w:pPr>
      <w:r>
        <w:rPr>
          <w:rFonts w:ascii="Times New Roman" w:cs="Times New Roman" w:eastAsia="Times New Roman" w:hAnsi="Times New Roman"/>
          <w:b/>
          <w:bCs/>
          <w:sz w:val="22"/>
          <w:szCs w:val="22"/>
        </w:rPr>
        <w:t xml:space="preserve">4.4 DAI moderation: evidence concentrated in the high-export tail</w:t>
      </w:r>
    </w:p>
    <w:p>
      <w:pPr>
        <w:spacing w:after="0" w:line="480" w:lineRule="auto"/>
        <w:ind w:firstLine="720"/>
        <w:jc w:val="both"/>
      </w:pPr>
      <w:r>
        <w:rPr>
          <w:rFonts w:ascii="Times New Roman" w:cs="Times New Roman" w:eastAsia="Times New Roman" w:hAnsi="Times New Roman"/>
          <w:sz w:val="20"/>
          <w:szCs w:val="20"/>
        </w:rPr>
        <w:t xml:space="preserve">DAI exerts a significant direct effect on labour productivity in Model M6 (β_z = 0.114, SE = 0.038, p = .002), supporting H3 and indicating that a one-standard-deviation increase in digital adoption is associated with an approximately 11.4% productivity increase. When both TCI and DAI are included as direct effects in Model M7, the DAI coefficient attenuates to marginal significance (β_z = 0.073, p = .057), suggesting partial overlap in the explanatory space captured by the two constructs.</w:t>
      </w:r>
    </w:p>
    <w:p>
      <w:pPr>
        <w:spacing w:after="0" w:line="480" w:lineRule="auto"/>
        <w:ind w:firstLine="720"/>
        <w:jc w:val="both"/>
      </w:pPr>
      <w:r>
        <w:rPr>
          <w:rFonts w:ascii="Times New Roman" w:cs="Times New Roman" w:eastAsia="Times New Roman" w:hAnsi="Times New Roman"/>
          <w:sz w:val="20"/>
          <w:szCs w:val="20"/>
        </w:rPr>
        <w:t xml:space="preserve">The moderation specification indicates that the productivity relevance of digital adoption varies across export intensity. In Model M4, the interaction block is jointly significant (F(2, 607) = 3.38, p = .035), and in the full Model M8 the quadratic interaction term remains positive and significant (FSTS² × DAI: β_z = +3.023, SE = 1.309, p = .021). Substantively, however, the evidence is concentrated in the upper export-intensity range.</w:t>
      </w:r>
    </w:p>
    <w:p>
      <w:pPr>
        <w:spacing w:after="0" w:line="480" w:lineRule="auto"/>
        <w:ind w:firstLine="720"/>
        <w:jc w:val="both"/>
      </w:pPr>
      <w:r>
        <w:rPr>
          <w:rFonts w:ascii="Times New Roman" w:cs="Times New Roman" w:eastAsia="Times New Roman" w:hAnsi="Times New Roman"/>
          <w:sz w:val="20"/>
          <w:szCs w:val="20"/>
        </w:rPr>
        <w:t xml:space="preserve">The marginal effect of DAI is only weakly negative and statistically indistinguishable from zero at intermediate export levels, with a shallow trough around FSTS ≈ 21% (β ≈ −0.06, not individually significant at any single FSTS level within the 7%–35% range). By contrast, the marginal effect becomes positive and statistically significant among high-intensity exporters (FSTS = 70%: β = +0.660, p = .041; FSTS = 100%: β = +1.818, p = .009). Accordingly, the results are best interpreted as evidence that digital adoption functions as a scale-enabling complement at high levels of internationalization, rather than as strong evidence of a pronounced coordination-cost trough in the middle range. This pattern supports H4: the association between digital adoption and labour productivity becomes more positive at higher levels of export intensity.</w:t>
      </w:r>
    </w:p>
    <w:p>
      <w:pPr>
        <w:spacing w:after="60" w:before="60" w:line="320" w:lineRule="auto"/>
        <w:jc w:val="left"/>
      </w:pPr>
    </w:p>
    <w:p>
      <w:pPr>
        <w:spacing w:after="180" w:before="360"/>
        <w:jc w:val="left"/>
      </w:pPr>
      <w:r>
        <w:rPr>
          <w:rFonts w:ascii="Times New Roman" w:cs="Times New Roman" w:eastAsia="Times New Roman" w:hAnsi="Times New Roman"/>
          <w:b/>
          <w:bCs/>
          <w:sz w:val="22"/>
          <w:szCs w:val="22"/>
        </w:rPr>
        <w:t xml:space="preserve">4.5 Effect sizes and robustness</w:t>
      </w:r>
    </w:p>
    <w:p>
      <w:pPr>
        <w:spacing w:after="0" w:line="480" w:lineRule="auto"/>
        <w:ind w:firstLine="720"/>
        <w:jc w:val="both"/>
      </w:pPr>
      <w:r>
        <w:rPr>
          <w:rFonts w:ascii="Times New Roman" w:cs="Times New Roman" w:eastAsia="Times New Roman" w:hAnsi="Times New Roman"/>
          <w:sz w:val="20"/>
          <w:szCs w:val="20"/>
        </w:rPr>
        <w:t xml:space="preserve">Cohen’s f² for TCI direct effect (M2 → M5) is approximately 0.036, in the small-to-medium range; for DAI moderation block (M5 → M6) it is approximately 0.018, below Cohen’s (1988) "small" threshold but consistent with typical magnitudes of moderation effects in organizational research (Aguinis et al., 2005). Robustness checks (DAI_thin specification, sectoral subsamples, and excluding firms with fewer than ten employees) yield qualitatively unchanged results.</w:t>
      </w:r>
    </w:p>
    <w:p>
      <w:pPr>
        <w:spacing w:after="240" w:before="480"/>
        <w:jc w:val="left"/>
      </w:pPr>
      <w:r>
        <w:rPr>
          <w:rFonts w:ascii="Times New Roman" w:cs="Times New Roman" w:eastAsia="Times New Roman" w:hAnsi="Times New Roman"/>
          <w:b/>
          <w:bCs/>
          <w:sz w:val="24"/>
          <w:szCs w:val="24"/>
        </w:rPr>
        <w:t xml:space="preserve">5 Discussion</w:t>
      </w:r>
    </w:p>
    <w:p>
      <w:pPr>
        <w:spacing w:after="180" w:before="360"/>
        <w:jc w:val="left"/>
      </w:pPr>
      <w:r>
        <w:rPr>
          <w:rFonts w:ascii="Times New Roman" w:cs="Times New Roman" w:eastAsia="Times New Roman" w:hAnsi="Times New Roman"/>
          <w:b/>
          <w:bCs/>
          <w:sz w:val="22"/>
          <w:szCs w:val="22"/>
        </w:rPr>
        <w:t xml:space="preserve">5.1 Theoretical implications</w:t>
      </w:r>
    </w:p>
    <w:p>
      <w:pPr>
        <w:spacing w:after="0" w:line="480" w:lineRule="auto"/>
        <w:ind w:firstLine="720"/>
        <w:jc w:val="both"/>
      </w:pPr>
      <w:r>
        <w:rPr>
          <w:rFonts w:ascii="Times New Roman" w:cs="Times New Roman" w:eastAsia="Times New Roman" w:hAnsi="Times New Roman"/>
          <w:sz w:val="20"/>
          <w:szCs w:val="20"/>
        </w:rPr>
        <w:t xml:space="preserve">Three theoretical implications follow from these findings. First, the TCI result supports a capability-complementarity interpretation: technological capability raises the productivity intercept but does not alter the curvature of the internationalization–performance relationship. This pattern is consistent with the Rugman and Verbeke (2004) argument that non-location-bound firm-specific advantages can improve performance without necessarily reshaping the internationalization curve itself.</w:t>
      </w:r>
    </w:p>
    <w:p>
      <w:pPr>
        <w:spacing w:after="0" w:line="480" w:lineRule="auto"/>
        <w:ind w:firstLine="720"/>
        <w:jc w:val="both"/>
      </w:pPr>
      <w:r>
        <w:rPr>
          <w:rFonts w:ascii="Times New Roman" w:cs="Times New Roman" w:eastAsia="Times New Roman" w:hAnsi="Times New Roman"/>
          <w:sz w:val="20"/>
          <w:szCs w:val="20"/>
        </w:rPr>
        <w:t xml:space="preserve">Second, the Singapore evidence qualifies rather than overturns the conventional inverted-U literature. The baseline relationship remains mildly curved, but the right-side decline is not formally established within the observed export-intensity range. This suggests that in a digitally mature institutional setting, the coordination-cost mechanism emphasized in earlier internationalization research may be attenuated or shifted to levels of export intensity that are sparsely represented in the present sample.</w:t>
      </w:r>
    </w:p>
    <w:p>
      <w:pPr>
        <w:spacing w:after="0" w:line="480" w:lineRule="auto"/>
        <w:ind w:firstLine="720"/>
        <w:jc w:val="both"/>
      </w:pPr>
      <w:r>
        <w:rPr>
          <w:rFonts w:ascii="Times New Roman" w:cs="Times New Roman" w:eastAsia="Times New Roman" w:hAnsi="Times New Roman"/>
          <w:sz w:val="20"/>
          <w:szCs w:val="20"/>
        </w:rPr>
        <w:t xml:space="preserve">Third, the role of digital adoption appears conditional and asymmetric. Its productivity relevance is not broadly distributed across all firms; instead, it becomes most visible among high-intensity exporters, where digital infrastructure can be amortized across a broader set of cross-border transactions and coordination demands. This interpretation is more consistent with a scale-enabling complement logic than with a strong claim that digital adoption penalizes firms at intermediate export levels.</w:t>
      </w:r>
    </w:p>
    <w:p>
      <w:pPr>
        <w:spacing w:after="60" w:before="60" w:line="320" w:lineRule="auto"/>
        <w:jc w:val="left"/>
      </w:pPr>
      <w:r>
        <w:rPr>
          <w:rFonts w:ascii="Times New Roman" w:cs="Times New Roman" w:eastAsia="Times New Roman" w:hAnsi="Times New Roman"/>
          <w:i/>
          <w:iCs/>
          <w:color w:val="B22222"/>
          <w:sz w:val="18"/>
          <w:szCs w:val="18"/>
        </w:rPr>
        <w:t xml:space="preserve">FOOTNOTE 1: Cross-paper context. The Singapore findings reported here form one component of a broader cross-economy investigation in companion analyses. Across Vietnam (2009/2015/2023) and China (2012/2024), the I–P inverted-U is confirmed at conventional thresholds with turning points around 36% and 48%, respectively; Singapore’s apparent turning point at ≈ 83% is the upper extreme. This cross-economy gradient is consistent with a digital institutional-development thesis but is beyond the scope of the present standalone analysis. Each economy is treated as an independent setting with its own measurement, sample, and identification considerations. (Move this content to a numbered footnote in the final manuscript.)</w:t>
      </w:r>
    </w:p>
    <w:p>
      <w:pPr>
        <w:spacing w:after="180" w:before="360"/>
        <w:jc w:val="left"/>
      </w:pPr>
      <w:r>
        <w:rPr>
          <w:rFonts w:ascii="Times New Roman" w:cs="Times New Roman" w:eastAsia="Times New Roman" w:hAnsi="Times New Roman"/>
          <w:b/>
          <w:bCs/>
          <w:sz w:val="22"/>
          <w:szCs w:val="22"/>
        </w:rPr>
        <w:t xml:space="preserve">5.2 Managerial implications</w:t>
      </w:r>
    </w:p>
    <w:p>
      <w:pPr>
        <w:spacing w:after="0" w:line="480" w:lineRule="auto"/>
        <w:ind w:firstLine="720"/>
        <w:jc w:val="both"/>
      </w:pPr>
      <w:r>
        <w:rPr>
          <w:rFonts w:ascii="Times New Roman" w:cs="Times New Roman" w:eastAsia="Times New Roman" w:hAnsi="Times New Roman"/>
          <w:sz w:val="20"/>
          <w:szCs w:val="20"/>
        </w:rPr>
        <w:t xml:space="preserve">For Singaporean firms, our findings suggest that investments in foundational digital adoption are associated with the largest productivity differentials when firms have already achieved high export intensity (FSTS &gt; 70%). For firms operating predominantly in the domestic market or at low export intensity, foundational digital adoption is still associated with positive direct productivity differences through the TCI–DAI joint effect, but the marginal magnitudes are smaller. Firms in the intermediate export-intensity range (7%–35%) show neither significant productivity gains nor significant losses from foundational digital adoption — implying that digital adoption decisions in this segment may be driven by strategic considerations beyond direct labour-productivity returns.</w:t>
      </w:r>
    </w:p>
    <w:p>
      <w:pPr>
        <w:spacing w:after="240" w:before="480"/>
        <w:jc w:val="left"/>
      </w:pPr>
      <w:r>
        <w:rPr>
          <w:rFonts w:ascii="Times New Roman" w:cs="Times New Roman" w:eastAsia="Times New Roman" w:hAnsi="Times New Roman"/>
          <w:b/>
          <w:bCs/>
          <w:sz w:val="24"/>
          <w:szCs w:val="24"/>
        </w:rPr>
        <w:t xml:space="preserve">6 Limitations and Future Research</w:t>
      </w:r>
    </w:p>
    <w:p>
      <w:pPr>
        <w:spacing w:after="0" w:line="480" w:lineRule="auto"/>
        <w:ind w:firstLine="720"/>
        <w:jc w:val="both"/>
      </w:pPr>
      <w:r>
        <w:rPr>
          <w:rFonts w:ascii="Times New Roman" w:cs="Times New Roman" w:eastAsia="Times New Roman" w:hAnsi="Times New Roman"/>
          <w:sz w:val="20"/>
          <w:szCs w:val="20"/>
        </w:rPr>
        <w:t xml:space="preserve">Three limitations warrant caution in interpreting the findings. First, the analysis is cross-sectional and therefore supports associational rather than causal inference. While the results are consistent with the proposed theoretical arguments, reverse causality and omitted-variable bias cannot be fully ruled out. Highly productive firms may be more likely to invest in digital infrastructure and to expand into international markets, generating a positive association between digital adoption, export intensity, and labour productivity even absent a productivity-enhancing causal channel. Future research using firm-level panel data — should such data become available for Singapore — would help disentangle selection from causation.</w:t>
      </w:r>
    </w:p>
    <w:p>
      <w:pPr>
        <w:spacing w:after="0" w:line="480" w:lineRule="auto"/>
        <w:ind w:firstLine="720"/>
        <w:jc w:val="both"/>
      </w:pPr>
      <w:r>
        <w:rPr>
          <w:rFonts w:ascii="Times New Roman" w:cs="Times New Roman" w:eastAsia="Times New Roman" w:hAnsi="Times New Roman"/>
          <w:sz w:val="20"/>
          <w:szCs w:val="20"/>
        </w:rPr>
        <w:t xml:space="preserve">Second, the Singapore sample contains a thin right tail of high-intensity exporters, with only 18% of firms reporting non-zero exports and only 3% exceeding 50% export intensity. This constrains statistical precision exactly where the moderation effect is theoretically most relevant and suggests caution in generalizing from the upper end of the export distribution. Although our scale-enabling-complement finding (FSTS &gt; 70%) is statistically significant in the present sample, replication on larger samples of high-intensity Singaporean exporters would strengthen the inference.</w:t>
      </w:r>
    </w:p>
    <w:p>
      <w:pPr>
        <w:spacing w:after="0" w:line="480" w:lineRule="auto"/>
        <w:ind w:firstLine="720"/>
        <w:jc w:val="both"/>
      </w:pPr>
      <w:r>
        <w:rPr>
          <w:rFonts w:ascii="Times New Roman" w:cs="Times New Roman" w:eastAsia="Times New Roman" w:hAnsi="Times New Roman"/>
          <w:sz w:val="20"/>
          <w:szCs w:val="20"/>
        </w:rPr>
        <w:t xml:space="preserve">Third, the estimated moderation effect is statistically detectable but substantively modest (Cohen’s f² ≈ 0.018, below Cohen’s "small" threshold although consistent with typical moderation effects in organizational research). The findings should therefore be treated as an initial firm-level test of a digital-frontier argument rather than as definitive evidence of a generalized boundary condition. Future research should examine whether the same pattern appears in other digitally mature economies (e.g., Hong Kong, South Korea, Taiwan) and under richer measures of digital adoption beyond the WBES B-READY items.</w:t>
      </w:r>
    </w:p>
    <w:p>
      <w:pPr>
        <w:spacing w:after="0" w:line="480" w:lineRule="auto"/>
        <w:ind w:firstLine="720"/>
        <w:jc w:val="both"/>
      </w:pPr>
      <w:r>
        <w:rPr>
          <w:rFonts w:ascii="Times New Roman" w:cs="Times New Roman" w:eastAsia="Times New Roman" w:hAnsi="Times New Roman"/>
          <w:sz w:val="20"/>
          <w:szCs w:val="20"/>
        </w:rPr>
        <w:t xml:space="preserve">Future research should also extend the two-construct architecture across digital-frontier economies, develop measurement instruments for finer-grained dimensions of digital adoption beyond foundational website and electronic payment indicators, and examine whether the scale-enabling-complement pattern operates through identifiable mechanisms (e.g., supplier-side digital integration, customer-facing digital channels, internal ERP integration).</w:t>
      </w:r>
    </w:p>
    <w:p>
      <w:pPr>
        <w:spacing w:after="240" w:before="480"/>
        <w:jc w:val="left"/>
      </w:pPr>
      <w:r>
        <w:rPr>
          <w:rFonts w:ascii="Times New Roman" w:cs="Times New Roman" w:eastAsia="Times New Roman" w:hAnsi="Times New Roman"/>
          <w:b/>
          <w:bCs/>
          <w:sz w:val="24"/>
          <w:szCs w:val="24"/>
        </w:rPr>
        <w:t xml:space="preserve">References</w:t>
      </w:r>
    </w:p>
    <w:p>
      <w:pPr>
        <w:spacing w:after="60" w:line="360" w:lineRule="auto"/>
        <w:ind w:left="720" w:hanging="720"/>
        <w:jc w:val="left"/>
      </w:pPr>
      <w:r>
        <w:rPr>
          <w:rFonts w:ascii="Times New Roman" w:cs="Times New Roman" w:eastAsia="Times New Roman" w:hAnsi="Times New Roman"/>
          <w:sz w:val="20"/>
          <w:szCs w:val="20"/>
        </w:rPr>
        <w:t xml:space="preserve">Aguinis, H., Beaty, J. C., Boik, R. J., &amp; Pierce, C. A. (2005). Effect size and power in assessing moderating effects of categorical variables using multiple regression: A 30-year review. Journal of Applied Psychology, 90(1), 94–107. https://doi.org/10.1037/0021-9010.90.1.94</w:t>
      </w:r>
    </w:p>
    <w:p>
      <w:pPr>
        <w:spacing w:after="60" w:line="360" w:lineRule="auto"/>
        <w:ind w:left="720" w:hanging="720"/>
        <w:jc w:val="left"/>
      </w:pPr>
      <w:r>
        <w:rPr>
          <w:rFonts w:ascii="Times New Roman" w:cs="Times New Roman" w:eastAsia="Times New Roman" w:hAnsi="Times New Roman"/>
          <w:sz w:val="20"/>
          <w:szCs w:val="20"/>
        </w:rPr>
        <w:t xml:space="preserve">Aiken, L. S., &amp; West, S. G. (1991). Multiple regression: Testing and interpreting interactions. Sage.</w:t>
      </w:r>
    </w:p>
    <w:p>
      <w:pPr>
        <w:spacing w:after="60" w:line="360" w:lineRule="auto"/>
        <w:ind w:left="720" w:hanging="720"/>
        <w:jc w:val="left"/>
      </w:pPr>
      <w:r>
        <w:rPr>
          <w:rFonts w:ascii="Times New Roman" w:cs="Times New Roman" w:eastAsia="Times New Roman" w:hAnsi="Times New Roman"/>
          <w:sz w:val="20"/>
          <w:szCs w:val="20"/>
        </w:rPr>
        <w:t xml:space="preserve">Avenyo, E. K., Tregenna, F., &amp; Kraemer-Mbula, E. (2021). Do productive capabilities affect export performance? Microeconomic evidence from sub-Saharan Africa. European Journal of Development Research, 33(2), 304–329. https://doi.org/10.1057/s41287-020-00328-2</w:t>
      </w:r>
    </w:p>
    <w:p>
      <w:pPr>
        <w:spacing w:after="60" w:line="360" w:lineRule="auto"/>
        <w:ind w:left="720" w:hanging="720"/>
        <w:jc w:val="left"/>
      </w:pPr>
      <w:r>
        <w:rPr>
          <w:rFonts w:ascii="Times New Roman" w:cs="Times New Roman" w:eastAsia="Times New Roman" w:hAnsi="Times New Roman"/>
          <w:sz w:val="20"/>
          <w:szCs w:val="20"/>
        </w:rPr>
        <w:t xml:space="preserve">Banalieva, E. R., &amp; Dhanaraj, C. (2019). Internalization theory for the digital economy. Journal of International Business Studies, 50(8), 1372–1387. https://doi.org/10.1057/s41267-019-00243-7</w:t>
      </w:r>
    </w:p>
    <w:p>
      <w:pPr>
        <w:spacing w:after="60" w:line="360" w:lineRule="auto"/>
        <w:ind w:left="720" w:hanging="720"/>
        <w:jc w:val="left"/>
      </w:pPr>
      <w:r>
        <w:rPr>
          <w:rFonts w:ascii="Times New Roman" w:cs="Times New Roman" w:eastAsia="Times New Roman" w:hAnsi="Times New Roman"/>
          <w:sz w:val="20"/>
          <w:szCs w:val="20"/>
        </w:rPr>
        <w:t xml:space="preserve">Barney, J. (1991). Firm resources and sustained competitive advantage. Journal of Management, 17(1), 99–120. https://doi.org/10.1177/014920639101700108</w:t>
      </w:r>
    </w:p>
    <w:p>
      <w:pPr>
        <w:spacing w:after="60" w:line="360" w:lineRule="auto"/>
        <w:ind w:left="720" w:hanging="720"/>
        <w:jc w:val="left"/>
      </w:pPr>
      <w:r>
        <w:rPr>
          <w:rFonts w:ascii="Times New Roman" w:cs="Times New Roman" w:eastAsia="Times New Roman" w:hAnsi="Times New Roman"/>
          <w:sz w:val="20"/>
          <w:szCs w:val="20"/>
        </w:rPr>
        <w:t xml:space="preserve">Bharadwaj, A., El Sawy, O. A., Pavlou, P. A., &amp; Venkatraman, N. (2013). Digital business strategy: Toward a next generation of insights. MIS Quarterly, 37(2), 471–482. https://doi.org/10.25300/MISQ/2013/37:2.3</w:t>
      </w:r>
    </w:p>
    <w:p>
      <w:pPr>
        <w:spacing w:after="60" w:line="360" w:lineRule="auto"/>
        <w:ind w:left="720" w:hanging="720"/>
        <w:jc w:val="left"/>
      </w:pPr>
      <w:r>
        <w:rPr>
          <w:rFonts w:ascii="Times New Roman" w:cs="Times New Roman" w:eastAsia="Times New Roman" w:hAnsi="Times New Roman"/>
          <w:sz w:val="20"/>
          <w:szCs w:val="20"/>
        </w:rPr>
        <w:t xml:space="preserve">Brynjolfsson, E., Rock, D., &amp; Syverson, C. (2021). The productivity J-curve: How intangibles complement general purpose technologies. American Economic Journal: Macroeconomics, 13(1), 333–372. https://doi.org/10.1257/mac.20180386</w:t>
      </w:r>
    </w:p>
    <w:p>
      <w:pPr>
        <w:spacing w:after="60" w:line="360" w:lineRule="auto"/>
        <w:ind w:left="720" w:hanging="720"/>
        <w:jc w:val="left"/>
      </w:pPr>
      <w:r>
        <w:rPr>
          <w:rFonts w:ascii="Times New Roman" w:cs="Times New Roman" w:eastAsia="Times New Roman" w:hAnsi="Times New Roman"/>
          <w:sz w:val="20"/>
          <w:szCs w:val="20"/>
        </w:rPr>
        <w:t xml:space="preserve">Cohen, J. (1988). Statistical power analysis for the behavioral sciences (2nd ed.). Lawrence Erlbaum.</w:t>
      </w:r>
    </w:p>
    <w:p>
      <w:pPr>
        <w:spacing w:after="60" w:line="360" w:lineRule="auto"/>
        <w:ind w:left="720" w:hanging="720"/>
        <w:jc w:val="left"/>
      </w:pPr>
      <w:r>
        <w:rPr>
          <w:rFonts w:ascii="Times New Roman" w:cs="Times New Roman" w:eastAsia="Times New Roman" w:hAnsi="Times New Roman"/>
          <w:sz w:val="20"/>
          <w:szCs w:val="20"/>
        </w:rPr>
        <w:t xml:space="preserve">Cohen, W. M., &amp; Levinthal, D. A. (1990). Absorptive capacity: A new perspective on learning and innovation. Administrative Science Quarterly, 35(1), 128–152. https://doi.org/10.2307/2393553</w:t>
      </w:r>
    </w:p>
    <w:p>
      <w:pPr>
        <w:spacing w:after="60" w:line="360" w:lineRule="auto"/>
        <w:ind w:left="720" w:hanging="720"/>
        <w:jc w:val="left"/>
      </w:pPr>
      <w:r>
        <w:rPr>
          <w:rFonts w:ascii="Times New Roman" w:cs="Times New Roman" w:eastAsia="Times New Roman" w:hAnsi="Times New Roman"/>
          <w:sz w:val="20"/>
          <w:szCs w:val="20"/>
        </w:rPr>
        <w:t xml:space="preserve">Coltman, T., Devinney, T. M., Midgley, D. F., &amp; Venaik, S. (2008). Formative versus reflective measurement models: Two applications of formative measurement. Journal of Business Research, 61(12), 1250–1262. https://doi.org/10.1016/j.jbusres.2008.01.013</w:t>
      </w:r>
    </w:p>
    <w:p>
      <w:pPr>
        <w:spacing w:after="60" w:line="360" w:lineRule="auto"/>
        <w:ind w:left="720" w:hanging="720"/>
        <w:jc w:val="left"/>
      </w:pPr>
      <w:r>
        <w:rPr>
          <w:rFonts w:ascii="Times New Roman" w:cs="Times New Roman" w:eastAsia="Times New Roman" w:hAnsi="Times New Roman"/>
          <w:sz w:val="20"/>
          <w:szCs w:val="20"/>
        </w:rPr>
        <w:t xml:space="preserve">Contractor, F. J., Kundu, S. K., &amp; Hsu, C.-C. (2003). A three-stage theory of international expansion: The link between multinationality and performance in the service sector. Journal of International Business Studies, 34(1), 5–18. https://doi.org/10.1057/palgrave.jibs.8400003</w:t>
      </w:r>
    </w:p>
    <w:p>
      <w:pPr>
        <w:spacing w:after="60" w:line="360" w:lineRule="auto"/>
        <w:ind w:left="720" w:hanging="720"/>
        <w:jc w:val="left"/>
      </w:pPr>
      <w:r>
        <w:rPr>
          <w:rFonts w:ascii="Times New Roman" w:cs="Times New Roman" w:eastAsia="Times New Roman" w:hAnsi="Times New Roman"/>
          <w:sz w:val="20"/>
          <w:szCs w:val="20"/>
        </w:rPr>
        <w:t xml:space="preserve">Haans, R. F. J., Pieters, C., &amp; He, Z.-L. (2016). Thinking about U: Theorizing and testing U- and inverted U-shaped relationships in strategy research. Strategic Management Journal, 37(7), 1177–1195. https://doi.org/10.1002/smj.2399</w:t>
      </w:r>
    </w:p>
    <w:p>
      <w:pPr>
        <w:spacing w:after="60" w:line="360" w:lineRule="auto"/>
        <w:ind w:left="720" w:hanging="720"/>
        <w:jc w:val="left"/>
      </w:pPr>
      <w:r>
        <w:rPr>
          <w:rFonts w:ascii="Times New Roman" w:cs="Times New Roman" w:eastAsia="Times New Roman" w:hAnsi="Times New Roman"/>
          <w:sz w:val="20"/>
          <w:szCs w:val="20"/>
        </w:rPr>
        <w:t xml:space="preserve">Hitt, M. A., Hoskisson, R. E., &amp; Kim, H. (1997). International diversification: Effects on innovation and firm performance in product-diversified firms. Academy of Management Journal, 40(4), 767–798. https://doi.org/10.5465/256948</w:t>
      </w:r>
    </w:p>
    <w:p>
      <w:pPr>
        <w:spacing w:after="60" w:line="360" w:lineRule="auto"/>
        <w:ind w:left="720" w:hanging="720"/>
        <w:jc w:val="left"/>
      </w:pPr>
      <w:r>
        <w:rPr>
          <w:rFonts w:ascii="Times New Roman" w:cs="Times New Roman" w:eastAsia="Times New Roman" w:hAnsi="Times New Roman"/>
          <w:sz w:val="20"/>
          <w:szCs w:val="20"/>
        </w:rPr>
        <w:t xml:space="preserve">Krammer, S. M. S., Strange, R., &amp; Lashitew, A. (2018). The export performance of emerging economy firms. International Business Review, 27(1), 218–230. https://doi.org/10.1016/j.ibusrev.2017.07.003</w:t>
      </w:r>
    </w:p>
    <w:p>
      <w:pPr>
        <w:spacing w:after="60" w:line="360" w:lineRule="auto"/>
        <w:ind w:left="720" w:hanging="720"/>
        <w:jc w:val="left"/>
      </w:pPr>
      <w:r>
        <w:rPr>
          <w:rFonts w:ascii="Times New Roman" w:cs="Times New Roman" w:eastAsia="Times New Roman" w:hAnsi="Times New Roman"/>
          <w:sz w:val="20"/>
          <w:szCs w:val="20"/>
        </w:rPr>
        <w:t xml:space="preserve">Lall, S. (1992). Technological capabilities and industrialization. World Development, 20(2), 165–186. https://doi.org/10.1016/0305-750X(92)90097-F</w:t>
      </w:r>
    </w:p>
    <w:p>
      <w:pPr>
        <w:spacing w:after="60" w:line="360" w:lineRule="auto"/>
        <w:ind w:left="720" w:hanging="720"/>
        <w:jc w:val="left"/>
      </w:pPr>
      <w:r>
        <w:rPr>
          <w:rFonts w:ascii="Times New Roman" w:cs="Times New Roman" w:eastAsia="Times New Roman" w:hAnsi="Times New Roman"/>
          <w:sz w:val="20"/>
          <w:szCs w:val="20"/>
        </w:rPr>
        <w:t xml:space="preserve">Lind, J. T., &amp; Mehlum, H. (2010). With or without U? The appropriate test for a U-shaped relationship. Oxford Bulletin of Economics and Statistics, 72(1), 109–118. https://doi.org/10.1111/j.1468-0084.2009.00569.x</w:t>
      </w:r>
    </w:p>
    <w:p>
      <w:pPr>
        <w:spacing w:after="60" w:line="360" w:lineRule="auto"/>
        <w:ind w:left="720" w:hanging="720"/>
        <w:jc w:val="left"/>
      </w:pPr>
      <w:r>
        <w:rPr>
          <w:rFonts w:ascii="Times New Roman" w:cs="Times New Roman" w:eastAsia="Times New Roman" w:hAnsi="Times New Roman"/>
          <w:sz w:val="20"/>
          <w:szCs w:val="20"/>
        </w:rPr>
        <w:t xml:space="preserve">Lu, J. W., &amp; Beamish, P. W. (2004). International diversification and firm performance: The S-curve hypothesis. Academy of Management Journal, 47(4), 598–609. https://doi.org/10.5465/20159604</w:t>
      </w:r>
    </w:p>
    <w:p>
      <w:pPr>
        <w:spacing w:after="60" w:line="360" w:lineRule="auto"/>
        <w:ind w:left="720" w:hanging="720"/>
        <w:jc w:val="left"/>
      </w:pPr>
      <w:r>
        <w:rPr>
          <w:rFonts w:ascii="Times New Roman" w:cs="Times New Roman" w:eastAsia="Times New Roman" w:hAnsi="Times New Roman"/>
          <w:sz w:val="20"/>
          <w:szCs w:val="20"/>
        </w:rPr>
        <w:t xml:space="preserve">MacKinnon, J. G., &amp; White, H. (1985). Some heteroskedasticity-consistent covariance matrix estimators with improved finite sample properties. Journal of Econometrics, 29(3), 305–325. https://doi.org/10.1016/0304-4076(85)90158-7</w:t>
      </w:r>
    </w:p>
    <w:p>
      <w:pPr>
        <w:spacing w:after="60" w:line="360" w:lineRule="auto"/>
        <w:ind w:left="720" w:hanging="720"/>
        <w:jc w:val="left"/>
      </w:pPr>
      <w:r>
        <w:rPr>
          <w:rFonts w:ascii="Times New Roman" w:cs="Times New Roman" w:eastAsia="Times New Roman" w:hAnsi="Times New Roman"/>
          <w:sz w:val="20"/>
          <w:szCs w:val="20"/>
        </w:rPr>
        <w:t xml:space="preserve">Marano, V., Arregle, J.-L., Hitt, M. A., Spadafora, E., &amp; van Essen, M. (2016). Home country institutions and the internationalization-performance relationship: A meta-analytic review. Journal of Management, 42(5), 1075–1110. https://doi.org/10.1177/0149206315608961</w:t>
      </w:r>
    </w:p>
    <w:p>
      <w:pPr>
        <w:spacing w:after="60" w:line="360" w:lineRule="auto"/>
        <w:ind w:left="720" w:hanging="720"/>
        <w:jc w:val="left"/>
      </w:pPr>
      <w:r>
        <w:rPr>
          <w:rFonts w:ascii="Times New Roman" w:cs="Times New Roman" w:eastAsia="Times New Roman" w:hAnsi="Times New Roman"/>
          <w:sz w:val="20"/>
          <w:szCs w:val="20"/>
        </w:rPr>
        <w:t xml:space="preserve">O’Brien, R. M. (2007). A caution regarding rules of thumb for variance inflation factors. Quality &amp; Quantity, 41(5), 673–690. https://doi.org/10.1007/s11135-006-9018-6</w:t>
      </w:r>
    </w:p>
    <w:p>
      <w:pPr>
        <w:spacing w:after="60" w:line="360" w:lineRule="auto"/>
        <w:ind w:left="720" w:hanging="720"/>
        <w:jc w:val="left"/>
      </w:pPr>
      <w:r>
        <w:rPr>
          <w:rFonts w:ascii="Times New Roman" w:cs="Times New Roman" w:eastAsia="Times New Roman" w:hAnsi="Times New Roman"/>
          <w:sz w:val="20"/>
          <w:szCs w:val="20"/>
        </w:rPr>
        <w:t xml:space="preserve">Peng, M. W. (2003). Institutional transitions and strategic choices. Academy of Management Review, 28(2), 275–296. https://doi.org/10.5465/amr.2003.9416341</w:t>
      </w:r>
    </w:p>
    <w:p>
      <w:pPr>
        <w:spacing w:after="60" w:line="360" w:lineRule="auto"/>
        <w:ind w:left="720" w:hanging="720"/>
        <w:jc w:val="left"/>
      </w:pPr>
      <w:r>
        <w:rPr>
          <w:rFonts w:ascii="Times New Roman" w:cs="Times New Roman" w:eastAsia="Times New Roman" w:hAnsi="Times New Roman"/>
          <w:sz w:val="20"/>
          <w:szCs w:val="20"/>
        </w:rPr>
        <w:t xml:space="preserve">Rugman, A. M., &amp; Verbeke, A. (2004). A perspective on regional and global strategies of multinational enterprises. Journal of International Business Studies, 35(1), 3–18. https://doi.org/10.1057/palgrave.jibs.8400073</w:t>
      </w:r>
    </w:p>
    <w:p>
      <w:pPr>
        <w:spacing w:after="60" w:line="360" w:lineRule="auto"/>
        <w:ind w:left="720" w:hanging="720"/>
        <w:jc w:val="left"/>
      </w:pPr>
      <w:r>
        <w:rPr>
          <w:rFonts w:ascii="Times New Roman" w:cs="Times New Roman" w:eastAsia="Times New Roman" w:hAnsi="Times New Roman"/>
          <w:sz w:val="20"/>
          <w:szCs w:val="20"/>
        </w:rPr>
        <w:t xml:space="preserve">Stallkamp, M., &amp; Schotter, A. P. J. (2021). Platforms without borders? The international strategies of digital platform firms. Global Strategy Journal, 11(1), 58–80. https://doi.org/10.1002/gsj.1336</w:t>
      </w:r>
    </w:p>
    <w:p>
      <w:pPr>
        <w:spacing w:after="60" w:line="360" w:lineRule="auto"/>
        <w:ind w:left="720" w:hanging="720"/>
        <w:jc w:val="left"/>
      </w:pPr>
      <w:r>
        <w:rPr>
          <w:rFonts w:ascii="Times New Roman" w:cs="Times New Roman" w:eastAsia="Times New Roman" w:hAnsi="Times New Roman"/>
          <w:sz w:val="20"/>
          <w:szCs w:val="20"/>
        </w:rPr>
        <w:t xml:space="preserve">Verhoef, P. C., Broekhuizen, T., Bart, Y., Bhattacharya, A., Dong, J. Q., Fabian, N., &amp; Haenlein, M. (2021). Digital transformation: A multidisciplinary reflection and research agenda. Journal of Business Research, 122, 889–901. https://doi.org/10.1016/j.jbusres.2019.09.022</w:t>
      </w:r>
    </w:p>
    <w:p>
      <w:pPr>
        <w:spacing w:after="60" w:line="360" w:lineRule="auto"/>
        <w:ind w:left="720" w:hanging="720"/>
        <w:jc w:val="left"/>
      </w:pPr>
      <w:r>
        <w:rPr>
          <w:rFonts w:ascii="Times New Roman" w:cs="Times New Roman" w:eastAsia="Times New Roman" w:hAnsi="Times New Roman"/>
          <w:sz w:val="20"/>
          <w:szCs w:val="20"/>
        </w:rPr>
        <w:t xml:space="preserve">World Bank. (2024). World Bank Enterprise Survey: Singapore 2023. World Bank Enterprise Surveys data portal. https://www.enterprisesurveys.org</w:t>
      </w:r>
    </w:p>
    <w:p>
      <w:pPr>
        <w:pageBreakBefore/>
        <w:spacing w:after="480" w:before="240"/>
        <w:jc w:val="center"/>
      </w:pPr>
      <w:r>
        <w:rPr>
          <w:rFonts w:ascii="Times New Roman" w:cs="Times New Roman" w:eastAsia="Times New Roman" w:hAnsi="Times New Roman"/>
          <w:b/>
          <w:bCs/>
          <w:sz w:val="28"/>
          <w:szCs w:val="28"/>
        </w:rPr>
        <w:t xml:space="preserve">PART 4 — REVIEWER DEFENSE SNIPPETS</w:t>
      </w:r>
    </w:p>
    <w:p>
      <w:pPr>
        <w:spacing w:after="60" w:before="60" w:line="320" w:lineRule="auto"/>
        <w:jc w:val="left"/>
      </w:pPr>
      <w:r>
        <w:rPr>
          <w:rFonts w:ascii="Times New Roman" w:cs="Times New Roman" w:eastAsia="Times New Roman" w:hAnsi="Times New Roman"/>
          <w:i/>
          <w:iCs/>
          <w:color w:val="B22222"/>
          <w:sz w:val="18"/>
          <w:szCs w:val="18"/>
        </w:rPr>
        <w:t xml:space="preserve">For internal use by chị when preparing rebuttal/response letter. Five anticipated reviewer concerns with prepared response framing. Bám sát đúng cấu trúc và kết quả đang có trong manuscript.</w:t>
      </w:r>
    </w:p>
    <w:p>
      <w:pPr>
        <w:spacing w:after="180" w:before="360"/>
        <w:jc w:val="left"/>
      </w:pPr>
      <w:r>
        <w:rPr>
          <w:rFonts w:ascii="Times New Roman" w:cs="Times New Roman" w:eastAsia="Times New Roman" w:hAnsi="Times New Roman"/>
          <w:b/>
          <w:bCs/>
          <w:sz w:val="22"/>
          <w:szCs w:val="22"/>
        </w:rPr>
        <w:t xml:space="preserve">1. "Why Singapore only?"</w:t>
      </w:r>
    </w:p>
    <w:p>
      <w:pPr>
        <w:spacing w:after="0" w:line="480" w:lineRule="auto"/>
        <w:ind w:firstLine="720"/>
        <w:jc w:val="both"/>
      </w:pPr>
      <w:r>
        <w:rPr>
          <w:rFonts w:ascii="Times New Roman" w:cs="Times New Roman" w:eastAsia="Times New Roman" w:hAnsi="Times New Roman"/>
          <w:sz w:val="20"/>
          <w:szCs w:val="20"/>
        </w:rPr>
        <w:t xml:space="preserve">Bài không cố khái quát hóa từ Singapore sang mọi nền kinh tế số, mà định vị Singapore như một critical digital-frontier setting để thực hiện một initial boundary-condition test của quan hệ internationalization–performance trong môi trường thể chế số trưởng thành. Chính phần limitations cũng đã thừa nhận đây là bằng chứng khởi đầu, không phải bằng chứng kết luận cho toàn bộ literature.</w:t>
      </w:r>
    </w:p>
    <w:p>
      <w:pPr>
        <w:spacing w:after="180" w:before="360"/>
        <w:jc w:val="left"/>
      </w:pPr>
      <w:r>
        <w:rPr>
          <w:rFonts w:ascii="Times New Roman" w:cs="Times New Roman" w:eastAsia="Times New Roman" w:hAnsi="Times New Roman"/>
          <w:b/>
          <w:bCs/>
          <w:sz w:val="22"/>
          <w:szCs w:val="22"/>
        </w:rPr>
        <w:t xml:space="preserve">2. "Your claim about the inverted-U is too strong."</w:t>
      </w:r>
    </w:p>
    <w:p>
      <w:pPr>
        <w:spacing w:after="0" w:line="480" w:lineRule="auto"/>
        <w:ind w:firstLine="720"/>
        <w:jc w:val="both"/>
      </w:pPr>
      <w:r>
        <w:rPr>
          <w:rFonts w:ascii="Times New Roman" w:cs="Times New Roman" w:eastAsia="Times New Roman" w:hAnsi="Times New Roman"/>
          <w:sz w:val="20"/>
          <w:szCs w:val="20"/>
        </w:rPr>
        <w:t xml:space="preserve">Bài đã dùng Lind–Mehlum test và kết luận rất rõ rằng quan hệ I–P chỉ nên được mô tả là primarily monotonic with mild quadratic curvature, chứ không khẳng định có inverted-U chính thức. Điểm mạnh của bài không nằm ở việc "bác bỏ" inverted-U, mà ở việc cho thấy trong một bối cảnh digital-frontier, phần suy giảm bên phải có thể bị làm yếu hoặc bị đẩy ra ngoài vùng export intensity được quan sát.</w:t>
      </w:r>
    </w:p>
    <w:p>
      <w:pPr>
        <w:spacing w:after="180" w:before="360"/>
        <w:jc w:val="left"/>
      </w:pPr>
      <w:r>
        <w:rPr>
          <w:rFonts w:ascii="Times New Roman" w:cs="Times New Roman" w:eastAsia="Times New Roman" w:hAnsi="Times New Roman"/>
          <w:b/>
          <w:bCs/>
          <w:sz w:val="22"/>
          <w:szCs w:val="22"/>
        </w:rPr>
        <w:t xml:space="preserve">3. "H4 overclaims a U-shape."</w:t>
      </w:r>
    </w:p>
    <w:p>
      <w:pPr>
        <w:spacing w:after="0" w:line="480" w:lineRule="auto"/>
        <w:ind w:firstLine="720"/>
        <w:jc w:val="both"/>
      </w:pPr>
      <w:r>
        <w:rPr>
          <w:rFonts w:ascii="Times New Roman" w:cs="Times New Roman" w:eastAsia="Times New Roman" w:hAnsi="Times New Roman"/>
          <w:sz w:val="20"/>
          <w:szCs w:val="20"/>
        </w:rPr>
        <w:t xml:space="preserve">Bản revised đã tránh nhấn mạnh vào "U-shape" như kết luận trung tâm và chuyển sang logic rằng digital adoption becomes more productivity-relevant at higher export intensity. Điều này phù hợp hơn với evidence hiện có, vì vùng trough ở mức export trung gian là nông và không có ý nghĩa riêng lẻ, trong khi hiệu ứng dương có ý nghĩa chủ yếu xuất hiện ở nhóm exporter cường độ cao.</w:t>
      </w:r>
    </w:p>
    <w:p>
      <w:pPr>
        <w:spacing w:after="180" w:before="360"/>
        <w:jc w:val="left"/>
      </w:pPr>
      <w:r>
        <w:rPr>
          <w:rFonts w:ascii="Times New Roman" w:cs="Times New Roman" w:eastAsia="Times New Roman" w:hAnsi="Times New Roman"/>
          <w:b/>
          <w:bCs/>
          <w:sz w:val="22"/>
          <w:szCs w:val="22"/>
        </w:rPr>
        <w:t xml:space="preserve">4. "TCI and DAI overlap conceptually."</w:t>
      </w:r>
    </w:p>
    <w:p>
      <w:pPr>
        <w:spacing w:after="0" w:line="480" w:lineRule="auto"/>
        <w:ind w:firstLine="720"/>
        <w:jc w:val="both"/>
      </w:pPr>
      <w:r>
        <w:rPr>
          <w:rFonts w:ascii="Times New Roman" w:cs="Times New Roman" w:eastAsia="Times New Roman" w:hAnsi="Times New Roman"/>
          <w:sz w:val="20"/>
          <w:szCs w:val="20"/>
        </w:rPr>
        <w:t xml:space="preserve">Đóng góp cốt lõi của bài chính là tách technological capability khỏi digital adoption trên cả bình diện lý thuyết lẫn đo lường. TCI được neo vào truyền thống Lall/Cohen-Levinthal, còn DAI được neo vào Bharadwaj/Verhoef; do đó bài không xem chúng là hai tên gọi của cùng một latent capability, mà là hai cấu trúc khác nhau có vai trò khác nhau trong mô hình.</w:t>
      </w:r>
    </w:p>
    <w:p>
      <w:pPr>
        <w:spacing w:after="180" w:before="360"/>
        <w:jc w:val="left"/>
      </w:pPr>
      <w:r>
        <w:rPr>
          <w:rFonts w:ascii="Times New Roman" w:cs="Times New Roman" w:eastAsia="Times New Roman" w:hAnsi="Times New Roman"/>
          <w:b/>
          <w:bCs/>
          <w:sz w:val="22"/>
          <w:szCs w:val="22"/>
        </w:rPr>
        <w:t xml:space="preserve">5. "Cross-sectional OLS cannot support causal claims."</w:t>
      </w:r>
    </w:p>
    <w:p>
      <w:pPr>
        <w:spacing w:after="0" w:line="480" w:lineRule="auto"/>
        <w:ind w:firstLine="720"/>
        <w:jc w:val="both"/>
      </w:pPr>
      <w:r>
        <w:rPr>
          <w:rFonts w:ascii="Times New Roman" w:cs="Times New Roman" w:eastAsia="Times New Roman" w:hAnsi="Times New Roman"/>
          <w:sz w:val="20"/>
          <w:szCs w:val="20"/>
        </w:rPr>
        <w:t xml:space="preserve">Đúng, bài giữ giọng associational, không dùng ngôn ngữ nhân quả mạnh. Phần limitations đã thừa nhận rõ đây là phân tích cắt ngang từ WBES Singapore 2023 và §3.3 Methods bổ sung đoạn defense về reverse causality. Diễn giải dùng các cụm như "is associated with", "is consistent with", hoặc "suggests", thay vì "causes" hay "demonstrates conclusively".</w:t>
      </w:r>
    </w:p>
    <w:p>
      <w:pPr>
        <w:spacing w:after="180" w:before="360"/>
        <w:jc w:val="left"/>
      </w:pPr>
      <w:r>
        <w:rPr>
          <w:rFonts w:ascii="Times New Roman" w:cs="Times New Roman" w:eastAsia="Times New Roman" w:hAnsi="Times New Roman"/>
          <w:b/>
          <w:bCs/>
          <w:sz w:val="22"/>
          <w:szCs w:val="22"/>
        </w:rPr>
        <w:t xml:space="preserve">Response snippets cho round review (English, ready-to-paste)</w:t>
      </w:r>
    </w:p>
    <w:p>
      <w:pPr>
        <w:spacing w:after="0" w:line="480" w:lineRule="auto"/>
        <w:jc w:val="both"/>
      </w:pPr>
      <w:r>
        <w:rPr>
          <w:rFonts w:ascii="Times New Roman" w:cs="Times New Roman" w:eastAsia="Times New Roman" w:hAnsi="Times New Roman"/>
          <w:b/>
          <w:bCs/>
          <w:sz w:val="20"/>
          <w:szCs w:val="20"/>
        </w:rPr>
        <w:t xml:space="preserve">On sample concentration in the high-export tail:</w:t>
      </w:r>
    </w:p>
    <w:p>
      <w:pPr>
        <w:spacing w:after="0" w:line="480" w:lineRule="auto"/>
        <w:ind w:firstLine="720"/>
        <w:jc w:val="both"/>
      </w:pPr>
      <w:r>
        <w:rPr>
          <w:rFonts w:ascii="Times New Roman" w:cs="Times New Roman" w:eastAsia="Times New Roman" w:hAnsi="Times New Roman"/>
          <w:sz w:val="20"/>
          <w:szCs w:val="20"/>
        </w:rPr>
        <w:t xml:space="preserve">"We agree that the right tail of the export-intensity distribution is thin in the Singapore sample, with only 18% of firms reporting non-zero exports and 3% exceeding 50% export intensity. For that reason, the revised manuscript now frames the moderation finding more cautiously as evidence concentrated in the high-export tail rather than as definitive proof of a strong U-shaped pattern across the full export-intensity range."</w:t>
      </w:r>
    </w:p>
    <w:p>
      <w:pPr>
        <w:spacing w:after="0" w:line="480" w:lineRule="auto"/>
        <w:jc w:val="both"/>
      </w:pPr>
      <w:r>
        <w:rPr>
          <w:rFonts w:ascii="Times New Roman" w:cs="Times New Roman" w:eastAsia="Times New Roman" w:hAnsi="Times New Roman"/>
          <w:b/>
          <w:bCs/>
          <w:sz w:val="20"/>
          <w:szCs w:val="20"/>
        </w:rPr>
        <w:t xml:space="preserve">On the contribution to theory:</w:t>
      </w:r>
    </w:p>
    <w:p>
      <w:pPr>
        <w:spacing w:after="0" w:line="480" w:lineRule="auto"/>
        <w:ind w:firstLine="720"/>
        <w:jc w:val="both"/>
      </w:pPr>
      <w:r>
        <w:rPr>
          <w:rFonts w:ascii="Times New Roman" w:cs="Times New Roman" w:eastAsia="Times New Roman" w:hAnsi="Times New Roman"/>
          <w:sz w:val="20"/>
          <w:szCs w:val="20"/>
        </w:rPr>
        <w:t xml:space="preserve">"The manuscript's theoretical contribution is not to replace the internationalization–performance literature with a new universal pattern, but to qualify its boundary conditions in a digitally mature institutional setting. The revised text therefore emphasizes that the Singapore evidence offers an initial firm-level test consistent with a digital-frontier boundary-condition argument rather than a definitive generalization beyond the present context."</w:t>
      </w:r>
    </w:p>
    <w:p>
      <w:pPr>
        <w:spacing w:after="0" w:line="480" w:lineRule="auto"/>
        <w:jc w:val="both"/>
      </w:pPr>
      <w:r>
        <w:rPr>
          <w:rFonts w:ascii="Times New Roman" w:cs="Times New Roman" w:eastAsia="Times New Roman" w:hAnsi="Times New Roman"/>
          <w:b/>
          <w:bCs/>
          <w:sz w:val="20"/>
          <w:szCs w:val="20"/>
        </w:rPr>
        <w:t xml:space="preserve">On construct validity:</w:t>
      </w:r>
    </w:p>
    <w:p>
      <w:pPr>
        <w:spacing w:after="0" w:line="480" w:lineRule="auto"/>
        <w:ind w:firstLine="720"/>
        <w:jc w:val="both"/>
      </w:pPr>
      <w:r>
        <w:rPr>
          <w:rFonts w:ascii="Times New Roman" w:cs="Times New Roman" w:eastAsia="Times New Roman" w:hAnsi="Times New Roman"/>
          <w:sz w:val="20"/>
          <w:szCs w:val="20"/>
        </w:rPr>
        <w:t xml:space="preserve">"A central contribution of the study is construct clarification. Rather than combining technological capability and digital adoption into a single umbrella construct, the manuscript distinguishes TCI from DAI theoretically and empirically, which allows the analysis to identify whether productivity differences are linked to firm-internal capability depth or to digitally enabled scale complementarities at higher export intensity."</w:t>
      </w:r>
    </w:p>
    <w:p>
      <w:pPr>
        <w:spacing w:after="0" w:line="480" w:lineRule="auto"/>
        <w:jc w:val="both"/>
      </w:pPr>
      <w:r>
        <w:rPr>
          <w:rFonts w:ascii="Times New Roman" w:cs="Times New Roman" w:eastAsia="Times New Roman" w:hAnsi="Times New Roman"/>
          <w:b/>
          <w:bCs/>
          <w:sz w:val="20"/>
          <w:szCs w:val="20"/>
        </w:rPr>
        <w:t xml:space="preserve">On H4 revision:</w:t>
      </w:r>
    </w:p>
    <w:p>
      <w:pPr>
        <w:spacing w:after="0" w:line="480" w:lineRule="auto"/>
        <w:ind w:firstLine="720"/>
        <w:jc w:val="both"/>
      </w:pPr>
      <w:r>
        <w:rPr>
          <w:rFonts w:ascii="Times New Roman" w:cs="Times New Roman" w:eastAsia="Times New Roman" w:hAnsi="Times New Roman"/>
          <w:sz w:val="20"/>
          <w:szCs w:val="20"/>
        </w:rPr>
        <w:t xml:space="preserve">"We revised H4 to better align the theory with the evidence. The revised hypothesis predicts that the association between digital adoption and productivity becomes more positive at higher levels of export intensity, which more accurately reflects the observed marginal-effects pattern than the stronger original U-shape wording."</w:t>
      </w:r>
    </w:p>
    <w:p>
      <w:pPr>
        <w:pageBreakBefore/>
        <w:spacing w:after="480" w:before="240"/>
        <w:jc w:val="center"/>
      </w:pPr>
      <w:r>
        <w:rPr>
          <w:rFonts w:ascii="Times New Roman" w:cs="Times New Roman" w:eastAsia="Times New Roman" w:hAnsi="Times New Roman"/>
          <w:b/>
          <w:bCs/>
          <w:sz w:val="28"/>
          <w:szCs w:val="28"/>
        </w:rPr>
        <w:t xml:space="preserve">PART 5 — PRE-SUBMISSION AUDIT CHECKLIST</w:t>
      </w:r>
    </w:p>
    <w:p>
      <w:pPr>
        <w:spacing w:after="60" w:before="60" w:line="320" w:lineRule="auto"/>
        <w:jc w:val="left"/>
      </w:pPr>
      <w:r>
        <w:rPr>
          <w:rFonts w:ascii="Times New Roman" w:cs="Times New Roman" w:eastAsia="Times New Roman" w:hAnsi="Times New Roman"/>
          <w:i/>
          <w:iCs/>
          <w:color w:val="B22222"/>
          <w:sz w:val="18"/>
          <w:szCs w:val="18"/>
        </w:rPr>
        <w:t xml:space="preserve">Submission portal: https://www.editorialmanager.com/mirv/  •  Branch source: huongctu/class-ai-agent  •  v5 build date: April 28, 2026</w:t>
      </w:r>
    </w:p>
    <w:p>
      <w:pPr>
        <w:spacing w:after="180" w:before="360"/>
        <w:jc w:val="left"/>
      </w:pPr>
      <w:r>
        <w:rPr>
          <w:rFonts w:ascii="Times New Roman" w:cs="Times New Roman" w:eastAsia="Times New Roman" w:hAnsi="Times New Roman"/>
          <w:b/>
          <w:bCs/>
          <w:sz w:val="22"/>
          <w:szCs w:val="22"/>
        </w:rPr>
        <w:t xml:space="preserve">A. CRITICAL — Replace ALL "PASTE" placeholders</w:t>
      </w:r>
    </w:p>
    <w:p>
      <w:pPr>
        <w:spacing w:after="60" w:line="360" w:lineRule="auto"/>
        <w:jc w:val="left"/>
      </w:pPr>
      <w:r>
        <w:rPr>
          <w:rFonts w:ascii="Times New Roman" w:cs="Times New Roman" w:eastAsia="Times New Roman" w:hAnsi="Times New Roman"/>
          <w:sz w:val="20"/>
          <w:szCs w:val="20"/>
        </w:rPr>
        <w:t xml:space="preserve">☐  §3.1: Paste descriptive statistics + sectoral distribution</w:t>
      </w:r>
    </w:p>
    <w:p>
      <w:pPr>
        <w:spacing w:after="60" w:line="360" w:lineRule="auto"/>
        <w:jc w:val="left"/>
      </w:pPr>
      <w:r>
        <w:rPr>
          <w:rFonts w:ascii="Times New Roman" w:cs="Times New Roman" w:eastAsia="Times New Roman" w:hAnsi="Times New Roman"/>
          <w:sz w:val="20"/>
          <w:szCs w:val="20"/>
        </w:rPr>
        <w:t xml:space="preserve">☐  §4.1: Paste Table 1 (descriptive statistics + correlations)</w:t>
      </w:r>
    </w:p>
    <w:p>
      <w:pPr>
        <w:spacing w:after="60" w:line="360" w:lineRule="auto"/>
        <w:jc w:val="left"/>
      </w:pPr>
      <w:r>
        <w:rPr>
          <w:rFonts w:ascii="Times New Roman" w:cs="Times New Roman" w:eastAsia="Times New Roman" w:hAnsi="Times New Roman"/>
          <w:sz w:val="20"/>
          <w:szCs w:val="20"/>
        </w:rPr>
        <w:t xml:space="preserve">☐  §4.4: Paste Table 2 (regression results M0–M8)</w:t>
      </w:r>
    </w:p>
    <w:p>
      <w:pPr>
        <w:spacing w:after="60" w:line="360" w:lineRule="auto"/>
        <w:jc w:val="left"/>
      </w:pPr>
      <w:r>
        <w:rPr>
          <w:rFonts w:ascii="Times New Roman" w:cs="Times New Roman" w:eastAsia="Times New Roman" w:hAnsi="Times New Roman"/>
          <w:sz w:val="20"/>
          <w:szCs w:val="20"/>
        </w:rPr>
        <w:t xml:space="preserve">☐  §4.4: Paste Table 4 (marginal effects of DAI across FSTS)</w:t>
      </w:r>
    </w:p>
    <w:p>
      <w:pPr>
        <w:spacing w:after="60" w:line="360" w:lineRule="auto"/>
        <w:jc w:val="left"/>
      </w:pPr>
      <w:r>
        <w:rPr>
          <w:rFonts w:ascii="Times New Roman" w:cs="Times New Roman" w:eastAsia="Times New Roman" w:hAnsi="Times New Roman"/>
          <w:sz w:val="20"/>
          <w:szCs w:val="20"/>
        </w:rPr>
        <w:t xml:space="preserve">☐  §4.5: Paste Table 3 (robustness checks)</w:t>
      </w:r>
    </w:p>
    <w:p>
      <w:pPr>
        <w:spacing w:after="60" w:line="360" w:lineRule="auto"/>
        <w:jc w:val="left"/>
      </w:pPr>
      <w:r>
        <w:rPr>
          <w:rFonts w:ascii="Times New Roman" w:cs="Times New Roman" w:eastAsia="Times New Roman" w:hAnsi="Times New Roman"/>
          <w:sz w:val="20"/>
          <w:szCs w:val="20"/>
        </w:rPr>
        <w:t xml:space="preserve">☐  §4.4: Paste Figure 1 (DAI marginal effects with 95% CI)</w:t>
      </w:r>
    </w:p>
    <w:p>
      <w:pPr>
        <w:spacing w:after="60" w:line="360" w:lineRule="auto"/>
        <w:jc w:val="left"/>
      </w:pPr>
      <w:r>
        <w:rPr>
          <w:rFonts w:ascii="Times New Roman" w:cs="Times New Roman" w:eastAsia="Times New Roman" w:hAnsi="Times New Roman"/>
          <w:sz w:val="20"/>
          <w:szCs w:val="20"/>
        </w:rPr>
        <w:t xml:space="preserve">☐  §4.2: Paste Figure 2 (I-P curve with confidence band)</w:t>
      </w:r>
    </w:p>
    <w:p>
      <w:pPr>
        <w:spacing w:after="60" w:line="360" w:lineRule="auto"/>
        <w:jc w:val="left"/>
      </w:pPr>
      <w:r>
        <w:rPr>
          <w:rFonts w:ascii="Times New Roman" w:cs="Times New Roman" w:eastAsia="Times New Roman" w:hAnsi="Times New Roman"/>
          <w:sz w:val="20"/>
          <w:szCs w:val="20"/>
        </w:rPr>
        <w:t xml:space="preserve">☐  §5.1: Move footnote 1 (cross-paper context) to a proper numbered footnote in Word</w:t>
      </w:r>
    </w:p>
    <w:p>
      <w:pPr>
        <w:spacing w:after="180" w:before="360"/>
        <w:jc w:val="left"/>
      </w:pPr>
      <w:r>
        <w:rPr>
          <w:rFonts w:ascii="Times New Roman" w:cs="Times New Roman" w:eastAsia="Times New Roman" w:hAnsi="Times New Roman"/>
          <w:b/>
          <w:bCs/>
          <w:sz w:val="22"/>
          <w:szCs w:val="22"/>
        </w:rPr>
        <w:t xml:space="preserve">B. Reframing checks (vs external review feedback)</w:t>
      </w:r>
    </w:p>
    <w:p>
      <w:pPr>
        <w:spacing w:after="60" w:line="360" w:lineRule="auto"/>
        <w:jc w:val="left"/>
      </w:pPr>
      <w:r>
        <w:rPr>
          <w:rFonts w:ascii="Times New Roman" w:cs="Times New Roman" w:eastAsia="Times New Roman" w:hAnsi="Times New Roman"/>
          <w:sz w:val="20"/>
          <w:szCs w:val="20"/>
        </w:rPr>
        <w:t xml:space="preserve">☐  Title: "Technological Capability, Digital Adoption, and the I–P Relationship in Singapore" ✓ NEW</w:t>
      </w:r>
    </w:p>
    <w:p>
      <w:pPr>
        <w:spacing w:after="60" w:line="360" w:lineRule="auto"/>
        <w:jc w:val="left"/>
      </w:pPr>
      <w:r>
        <w:rPr>
          <w:rFonts w:ascii="Times New Roman" w:cs="Times New Roman" w:eastAsia="Times New Roman" w:hAnsi="Times New Roman"/>
          <w:sz w:val="20"/>
          <w:szCs w:val="20"/>
        </w:rPr>
        <w:t xml:space="preserve">☐  Abstract opening: "This study examines whether technological capability and digital adoption play distinct roles..." ✓ NEW</w:t>
      </w:r>
    </w:p>
    <w:p>
      <w:pPr>
        <w:spacing w:after="60" w:line="360" w:lineRule="auto"/>
        <w:jc w:val="left"/>
      </w:pPr>
      <w:r>
        <w:rPr>
          <w:rFonts w:ascii="Times New Roman" w:cs="Times New Roman" w:eastAsia="Times New Roman" w:hAnsi="Times New Roman"/>
          <w:sz w:val="20"/>
          <w:szCs w:val="20"/>
        </w:rPr>
        <w:t xml:space="preserve">☐  §1.3 Contribution: "qualify rather than overturn" tone ✓ NEW</w:t>
      </w:r>
    </w:p>
    <w:p>
      <w:pPr>
        <w:spacing w:after="60" w:line="360" w:lineRule="auto"/>
        <w:jc w:val="left"/>
      </w:pPr>
      <w:r>
        <w:rPr>
          <w:rFonts w:ascii="Times New Roman" w:cs="Times New Roman" w:eastAsia="Times New Roman" w:hAnsi="Times New Roman"/>
          <w:sz w:val="20"/>
          <w:szCs w:val="20"/>
        </w:rPr>
        <w:t xml:space="preserve">☐  §2.3.4 H4 revised: "more positive at higher export intensity" ✓ NEW (no longer claims U-shape)</w:t>
      </w:r>
    </w:p>
    <w:p>
      <w:pPr>
        <w:spacing w:after="60" w:line="360" w:lineRule="auto"/>
        <w:jc w:val="left"/>
      </w:pPr>
      <w:r>
        <w:rPr>
          <w:rFonts w:ascii="Times New Roman" w:cs="Times New Roman" w:eastAsia="Times New Roman" w:hAnsi="Times New Roman"/>
          <w:sz w:val="20"/>
          <w:szCs w:val="20"/>
        </w:rPr>
        <w:t xml:space="preserve">☐  §4.4 title: "evidence concentrated in the high-export tail" ✓ NEW</w:t>
      </w:r>
    </w:p>
    <w:p>
      <w:pPr>
        <w:spacing w:after="60" w:line="360" w:lineRule="auto"/>
        <w:jc w:val="left"/>
      </w:pPr>
      <w:r>
        <w:rPr>
          <w:rFonts w:ascii="Times New Roman" w:cs="Times New Roman" w:eastAsia="Times New Roman" w:hAnsi="Times New Roman"/>
          <w:sz w:val="20"/>
          <w:szCs w:val="20"/>
        </w:rPr>
        <w:t xml:space="preserve">☐  §4.4 narrative: scale-enabling complement framing ✓ NEW</w:t>
      </w:r>
    </w:p>
    <w:p>
      <w:pPr>
        <w:spacing w:after="60" w:line="360" w:lineRule="auto"/>
        <w:jc w:val="left"/>
      </w:pPr>
      <w:r>
        <w:rPr>
          <w:rFonts w:ascii="Times New Roman" w:cs="Times New Roman" w:eastAsia="Times New Roman" w:hAnsi="Times New Roman"/>
          <w:sz w:val="20"/>
          <w:szCs w:val="20"/>
        </w:rPr>
        <w:t xml:space="preserve">☐  §5.1 implications: softened "qualifies rather than overturns" ✓ NEW</w:t>
      </w:r>
    </w:p>
    <w:p>
      <w:pPr>
        <w:spacing w:after="60" w:line="360" w:lineRule="auto"/>
        <w:jc w:val="left"/>
      </w:pPr>
      <w:r>
        <w:rPr>
          <w:rFonts w:ascii="Times New Roman" w:cs="Times New Roman" w:eastAsia="Times New Roman" w:hAnsi="Times New Roman"/>
          <w:sz w:val="20"/>
          <w:szCs w:val="20"/>
        </w:rPr>
        <w:t xml:space="preserve">☐  §6 Limitations: 3 expanded paragraphs covering causality, thin tail, modest effect ✓ NEW</w:t>
      </w:r>
    </w:p>
    <w:p>
      <w:pPr>
        <w:spacing w:after="60" w:line="360" w:lineRule="auto"/>
        <w:jc w:val="left"/>
      </w:pPr>
      <w:r>
        <w:rPr>
          <w:rFonts w:ascii="Times New Roman" w:cs="Times New Roman" w:eastAsia="Times New Roman" w:hAnsi="Times New Roman"/>
          <w:sz w:val="20"/>
          <w:szCs w:val="20"/>
        </w:rPr>
        <w:t xml:space="preserve">☐  §3.3 Methods: associational scope explicitly stated ✓ NEW</w:t>
      </w:r>
    </w:p>
    <w:p>
      <w:pPr>
        <w:spacing w:after="60" w:line="360" w:lineRule="auto"/>
        <w:jc w:val="left"/>
      </w:pPr>
      <w:r>
        <w:rPr>
          <w:rFonts w:ascii="Times New Roman" w:cs="Times New Roman" w:eastAsia="Times New Roman" w:hAnsi="Times New Roman"/>
          <w:sz w:val="20"/>
          <w:szCs w:val="20"/>
        </w:rPr>
        <w:t xml:space="preserve">☐  Cross-paper context: moved to footnote 1 (§5.1) ✓ NEW</w:t>
      </w:r>
    </w:p>
    <w:p>
      <w:pPr>
        <w:spacing w:after="180" w:before="360"/>
        <w:jc w:val="left"/>
      </w:pPr>
      <w:r>
        <w:rPr>
          <w:rFonts w:ascii="Times New Roman" w:cs="Times New Roman" w:eastAsia="Times New Roman" w:hAnsi="Times New Roman"/>
          <w:b/>
          <w:bCs/>
          <w:sz w:val="22"/>
          <w:szCs w:val="22"/>
        </w:rPr>
        <w:t xml:space="preserve">C. Manuscript file checks</w:t>
      </w:r>
    </w:p>
    <w:p>
      <w:pPr>
        <w:spacing w:after="60" w:line="360" w:lineRule="auto"/>
        <w:jc w:val="left"/>
      </w:pPr>
      <w:r>
        <w:rPr>
          <w:rFonts w:ascii="Times New Roman" w:cs="Times New Roman" w:eastAsia="Times New Roman" w:hAnsi="Times New Roman"/>
          <w:sz w:val="20"/>
          <w:szCs w:val="20"/>
        </w:rPr>
        <w:t xml:space="preserve">☐  Title removed from blinded manuscript file</w:t>
      </w:r>
    </w:p>
    <w:p>
      <w:pPr>
        <w:spacing w:after="60" w:line="360" w:lineRule="auto"/>
        <w:jc w:val="left"/>
      </w:pPr>
      <w:r>
        <w:rPr>
          <w:rFonts w:ascii="Times New Roman" w:cs="Times New Roman" w:eastAsia="Times New Roman" w:hAnsi="Times New Roman"/>
          <w:sz w:val="20"/>
          <w:szCs w:val="20"/>
        </w:rPr>
        <w:t xml:space="preserve">☐  Author names + affiliations removed from blinded manuscript file</w:t>
      </w:r>
    </w:p>
    <w:p>
      <w:pPr>
        <w:spacing w:after="60" w:line="360" w:lineRule="auto"/>
        <w:jc w:val="left"/>
      </w:pPr>
      <w:r>
        <w:rPr>
          <w:rFonts w:ascii="Times New Roman" w:cs="Times New Roman" w:eastAsia="Times New Roman" w:hAnsi="Times New Roman"/>
          <w:sz w:val="20"/>
          <w:szCs w:val="20"/>
        </w:rPr>
        <w:t xml:space="preserve">☐  Acknowledgments removed from blinded manuscript file</w:t>
      </w:r>
    </w:p>
    <w:p>
      <w:pPr>
        <w:spacing w:after="60" w:line="360" w:lineRule="auto"/>
        <w:jc w:val="left"/>
      </w:pPr>
      <w:r>
        <w:rPr>
          <w:rFonts w:ascii="Times New Roman" w:cs="Times New Roman" w:eastAsia="Times New Roman" w:hAnsi="Times New Roman"/>
          <w:sz w:val="20"/>
          <w:szCs w:val="20"/>
        </w:rPr>
        <w:t xml:space="preserve">☐  Times New Roman 10pt double-spaced (MIR convention)</w:t>
      </w:r>
    </w:p>
    <w:p>
      <w:pPr>
        <w:spacing w:after="60" w:line="360" w:lineRule="auto"/>
        <w:jc w:val="left"/>
      </w:pPr>
      <w:r>
        <w:rPr>
          <w:rFonts w:ascii="Times New Roman" w:cs="Times New Roman" w:eastAsia="Times New Roman" w:hAnsi="Times New Roman"/>
          <w:sz w:val="20"/>
          <w:szCs w:val="20"/>
        </w:rPr>
        <w:t xml:space="preserve">☐  Page numbers active</w:t>
      </w:r>
    </w:p>
    <w:p>
      <w:pPr>
        <w:spacing w:after="60" w:line="360" w:lineRule="auto"/>
        <w:jc w:val="left"/>
      </w:pPr>
      <w:r>
        <w:rPr>
          <w:rFonts w:ascii="Times New Roman" w:cs="Times New Roman" w:eastAsia="Times New Roman" w:hAnsi="Times New Roman"/>
          <w:sz w:val="20"/>
          <w:szCs w:val="20"/>
        </w:rPr>
        <w:t xml:space="preserve">☐  Hypotheses formatted "Hypothesis 1 (H1) Foundational..." (number same line)</w:t>
      </w:r>
    </w:p>
    <w:p>
      <w:pPr>
        <w:spacing w:after="60" w:line="360" w:lineRule="auto"/>
        <w:jc w:val="left"/>
      </w:pPr>
      <w:r>
        <w:rPr>
          <w:rFonts w:ascii="Times New Roman" w:cs="Times New Roman" w:eastAsia="Times New Roman" w:hAnsi="Times New Roman"/>
          <w:sz w:val="20"/>
          <w:szCs w:val="20"/>
        </w:rPr>
        <w:t xml:space="preserve">☐  Headings numbered: 1, 1.1, 1.1.1 — no level skipping</w:t>
      </w:r>
    </w:p>
    <w:p>
      <w:pPr>
        <w:spacing w:after="60" w:line="360" w:lineRule="auto"/>
        <w:jc w:val="left"/>
      </w:pPr>
      <w:r>
        <w:rPr>
          <w:rFonts w:ascii="Times New Roman" w:cs="Times New Roman" w:eastAsia="Times New Roman" w:hAnsi="Times New Roman"/>
          <w:sz w:val="20"/>
          <w:szCs w:val="20"/>
        </w:rPr>
        <w:t xml:space="preserve">☐  Word count ≤ 10,000 (current ~3,950 + tables/figures = within budget)</w:t>
      </w:r>
    </w:p>
    <w:p>
      <w:pPr>
        <w:spacing w:after="60" w:line="360" w:lineRule="auto"/>
        <w:jc w:val="left"/>
      </w:pPr>
      <w:r>
        <w:rPr>
          <w:rFonts w:ascii="Times New Roman" w:cs="Times New Roman" w:eastAsia="Times New Roman" w:hAnsi="Times New Roman"/>
          <w:sz w:val="20"/>
          <w:szCs w:val="20"/>
        </w:rPr>
        <w:t xml:space="preserve">☐  "foundational digital capability" as umbrella term: removed</w:t>
      </w:r>
    </w:p>
    <w:p>
      <w:pPr>
        <w:spacing w:after="60" w:line="360" w:lineRule="auto"/>
        <w:jc w:val="left"/>
      </w:pPr>
      <w:r>
        <w:rPr>
          <w:rFonts w:ascii="Times New Roman" w:cs="Times New Roman" w:eastAsia="Times New Roman" w:hAnsi="Times New Roman"/>
          <w:sz w:val="20"/>
          <w:szCs w:val="20"/>
        </w:rPr>
        <w:t xml:space="preserve">☐  Consistent use of "TCI" and "DAI" labels throughout</w:t>
      </w:r>
    </w:p>
    <w:p>
      <w:pPr>
        <w:spacing w:after="180" w:before="360"/>
        <w:jc w:val="left"/>
      </w:pPr>
      <w:r>
        <w:rPr>
          <w:rFonts w:ascii="Times New Roman" w:cs="Times New Roman" w:eastAsia="Times New Roman" w:hAnsi="Times New Roman"/>
          <w:b/>
          <w:bCs/>
          <w:sz w:val="22"/>
          <w:szCs w:val="22"/>
        </w:rPr>
        <w:t xml:space="preserve">D. Title page (separate file)</w:t>
      </w:r>
    </w:p>
    <w:p>
      <w:pPr>
        <w:spacing w:after="60" w:line="360" w:lineRule="auto"/>
        <w:jc w:val="left"/>
      </w:pPr>
      <w:r>
        <w:rPr>
          <w:rFonts w:ascii="Times New Roman" w:cs="Times New Roman" w:eastAsia="Times New Roman" w:hAnsi="Times New Roman"/>
          <w:sz w:val="20"/>
          <w:szCs w:val="20"/>
        </w:rPr>
        <w:t xml:space="preserve">☐  Title (TCI/DAI version)</w:t>
      </w:r>
    </w:p>
    <w:p>
      <w:pPr>
        <w:spacing w:after="60" w:line="360" w:lineRule="auto"/>
        <w:jc w:val="left"/>
      </w:pPr>
      <w:r>
        <w:rPr>
          <w:rFonts w:ascii="Times New Roman" w:cs="Times New Roman" w:eastAsia="Times New Roman" w:hAnsi="Times New Roman"/>
          <w:sz w:val="20"/>
          <w:szCs w:val="20"/>
        </w:rPr>
        <w:t xml:space="preserve">☐  Authors with ORCID iDs (Hương 0000-0002-7711-2487; Tú 0000-0003-0667-3137)</w:t>
      </w:r>
    </w:p>
    <w:p>
      <w:pPr>
        <w:spacing w:after="60" w:line="360" w:lineRule="auto"/>
        <w:jc w:val="left"/>
      </w:pPr>
      <w:r>
        <w:rPr>
          <w:rFonts w:ascii="Times New Roman" w:cs="Times New Roman" w:eastAsia="Times New Roman" w:hAnsi="Times New Roman"/>
          <w:sz w:val="20"/>
          <w:szCs w:val="20"/>
        </w:rPr>
        <w:t xml:space="preserve">☐  Statements &amp; Declarations:</w:t>
      </w:r>
    </w:p>
    <w:p>
      <w:pPr>
        <w:spacing w:after="60" w:line="360" w:lineRule="auto"/>
        <w:jc w:val="left"/>
      </w:pPr>
      <w:r>
        <w:rPr>
          <w:rFonts w:ascii="Times New Roman" w:cs="Times New Roman" w:eastAsia="Times New Roman" w:hAnsi="Times New Roman"/>
          <w:sz w:val="20"/>
          <w:szCs w:val="20"/>
        </w:rPr>
        <w:t xml:space="preserve">☐    → Funding (no funding)</w:t>
      </w:r>
    </w:p>
    <w:p>
      <w:pPr>
        <w:spacing w:after="60" w:line="360" w:lineRule="auto"/>
        <w:jc w:val="left"/>
      </w:pPr>
      <w:r>
        <w:rPr>
          <w:rFonts w:ascii="Times New Roman" w:cs="Times New Roman" w:eastAsia="Times New Roman" w:hAnsi="Times New Roman"/>
          <w:sz w:val="20"/>
          <w:szCs w:val="20"/>
        </w:rPr>
        <w:t xml:space="preserve">☐    → Competing Interests (none)</w:t>
      </w:r>
    </w:p>
    <w:p>
      <w:pPr>
        <w:spacing w:after="60" w:line="360" w:lineRule="auto"/>
        <w:jc w:val="left"/>
      </w:pPr>
      <w:r>
        <w:rPr>
          <w:rFonts w:ascii="Times New Roman" w:cs="Times New Roman" w:eastAsia="Times New Roman" w:hAnsi="Times New Roman"/>
          <w:sz w:val="20"/>
          <w:szCs w:val="20"/>
        </w:rPr>
        <w:t xml:space="preserve">☐    → Ethics Approval (secondary anonymized data)</w:t>
      </w:r>
    </w:p>
    <w:p>
      <w:pPr>
        <w:spacing w:after="60" w:line="360" w:lineRule="auto"/>
        <w:jc w:val="left"/>
      </w:pPr>
      <w:r>
        <w:rPr>
          <w:rFonts w:ascii="Times New Roman" w:cs="Times New Roman" w:eastAsia="Times New Roman" w:hAnsi="Times New Roman"/>
          <w:sz w:val="20"/>
          <w:szCs w:val="20"/>
        </w:rPr>
        <w:t xml:space="preserve">☐    → Data Availability (REQUIRED by Springer)</w:t>
      </w:r>
    </w:p>
    <w:p>
      <w:pPr>
        <w:spacing w:after="60" w:line="360" w:lineRule="auto"/>
        <w:jc w:val="left"/>
      </w:pPr>
      <w:r>
        <w:rPr>
          <w:rFonts w:ascii="Times New Roman" w:cs="Times New Roman" w:eastAsia="Times New Roman" w:hAnsi="Times New Roman"/>
          <w:sz w:val="20"/>
          <w:szCs w:val="20"/>
        </w:rPr>
        <w:t xml:space="preserve">☐    → Code Availability</w:t>
      </w:r>
    </w:p>
    <w:p>
      <w:pPr>
        <w:spacing w:after="60" w:line="360" w:lineRule="auto"/>
        <w:jc w:val="left"/>
      </w:pPr>
      <w:r>
        <w:rPr>
          <w:rFonts w:ascii="Times New Roman" w:cs="Times New Roman" w:eastAsia="Times New Roman" w:hAnsi="Times New Roman"/>
          <w:sz w:val="20"/>
          <w:szCs w:val="20"/>
        </w:rPr>
        <w:t xml:space="preserve">☐    → CRediT Authors' Contributions</w:t>
      </w:r>
    </w:p>
    <w:p>
      <w:pPr>
        <w:spacing w:after="60" w:line="360" w:lineRule="auto"/>
        <w:jc w:val="left"/>
      </w:pPr>
      <w:r>
        <w:rPr>
          <w:rFonts w:ascii="Times New Roman" w:cs="Times New Roman" w:eastAsia="Times New Roman" w:hAnsi="Times New Roman"/>
          <w:sz w:val="20"/>
          <w:szCs w:val="20"/>
        </w:rPr>
        <w:t xml:space="preserve">☐    → LLM disclosure (Writefull copy-edit only)</w:t>
      </w:r>
    </w:p>
    <w:p>
      <w:pPr>
        <w:spacing w:after="180" w:before="360"/>
        <w:jc w:val="left"/>
      </w:pPr>
      <w:r>
        <w:rPr>
          <w:rFonts w:ascii="Times New Roman" w:cs="Times New Roman" w:eastAsia="Times New Roman" w:hAnsi="Times New Roman"/>
          <w:b/>
          <w:bCs/>
          <w:sz w:val="22"/>
          <w:szCs w:val="22"/>
        </w:rPr>
        <w:t xml:space="preserve">E. Production-spec numbers verification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Times New Roman" w:cs="Times New Roman" w:eastAsia="Times New Roman" w:hAnsi="Times New Roman"/>
                <w:b/>
                <w:bCs/>
                <w:sz w:val="18"/>
                <w:szCs w:val="18"/>
              </w:rPr>
              <w:t xml:space="preserve">Anchor</w:t>
            </w:r>
          </w:p>
        </w:tc>
        <w:tc>
          <w:tcPr>
            <w:tcW w:type="dxa" w:w="30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Times New Roman" w:cs="Times New Roman" w:eastAsia="Times New Roman" w:hAnsi="Times New Roman"/>
                <w:b/>
                <w:bCs/>
                <w:sz w:val="18"/>
                <w:szCs w:val="18"/>
              </w:rPr>
              <w:t xml:space="preserve">Production value</w:t>
            </w:r>
          </w:p>
        </w:tc>
        <w:tc>
          <w:tcPr>
            <w:tcW w:type="dxa" w:w="30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Times New Roman" w:cs="Times New Roman" w:eastAsia="Times New Roman" w:hAnsi="Times New Roman"/>
                <w:b/>
                <w:bCs/>
                <w:sz w:val="18"/>
                <w:szCs w:val="18"/>
              </w:rPr>
              <w:t xml:space="preserve">Manuscript √</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N analytic</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623</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M2 FSTS β</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+3.490 (SE 0.903)</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M2 FSTS² β</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−2.103 (SE 1.087, p=.053)</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Apparent TP</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83.0%</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Lind-Mehlum p</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.301 (ns)</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M5 TCI β_z</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+0.200 (p&lt;.001)</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M3 TCI mod (joint)</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ns</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M6 DAI β_z</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+0.114 (p=.002)</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M7 DAI β_z (with TCI)</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+0.073 (p=.057)</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M4 joint F (DAI mod)</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F(2,607)=3.38, p=.035</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M8 FSTS²×DAI</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+3.023 (SE 1.309, p=.021)</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ME at FSTS=70%</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+0.660 (p=.041)</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ME at FSTS=100%</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+1.818 (p=.009)</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Cohen's f² (TCI direct)</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~0.036</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Cohen's f² (DAI mod)</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~0.018</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Sample exporters %</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18% non-zero, 3% &gt; 50%</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w:t>
            </w:r>
          </w:p>
        </w:tc>
      </w:tr>
    </w:tbl>
    <w:p>
      <w:pPr>
        <w:spacing w:after="180" w:before="360"/>
        <w:jc w:val="left"/>
      </w:pPr>
      <w:r>
        <w:rPr>
          <w:rFonts w:ascii="Times New Roman" w:cs="Times New Roman" w:eastAsia="Times New Roman" w:hAnsi="Times New Roman"/>
          <w:b/>
          <w:bCs/>
          <w:sz w:val="22"/>
          <w:szCs w:val="22"/>
        </w:rPr>
        <w:t xml:space="preserve">F. References</w:t>
      </w:r>
    </w:p>
    <w:p>
      <w:pPr>
        <w:spacing w:after="60" w:line="360" w:lineRule="auto"/>
        <w:jc w:val="left"/>
      </w:pPr>
      <w:r>
        <w:rPr>
          <w:rFonts w:ascii="Times New Roman" w:cs="Times New Roman" w:eastAsia="Times New Roman" w:hAnsi="Times New Roman"/>
          <w:sz w:val="20"/>
          <w:szCs w:val="20"/>
        </w:rPr>
        <w:t xml:space="preserve">☐  All references cited in text appear in reference list (25 refs total)</w:t>
      </w:r>
    </w:p>
    <w:p>
      <w:pPr>
        <w:spacing w:after="60" w:line="360" w:lineRule="auto"/>
        <w:jc w:val="left"/>
      </w:pPr>
      <w:r>
        <w:rPr>
          <w:rFonts w:ascii="Times New Roman" w:cs="Times New Roman" w:eastAsia="Times New Roman" w:hAnsi="Times New Roman"/>
          <w:sz w:val="20"/>
          <w:szCs w:val="20"/>
        </w:rPr>
        <w:t xml:space="preserve">☐  All references in list are cited in text (no orphan refs)</w:t>
      </w:r>
    </w:p>
    <w:p>
      <w:pPr>
        <w:spacing w:after="60" w:line="360" w:lineRule="auto"/>
        <w:jc w:val="left"/>
      </w:pPr>
      <w:r>
        <w:rPr>
          <w:rFonts w:ascii="Times New Roman" w:cs="Times New Roman" w:eastAsia="Times New Roman" w:hAnsi="Times New Roman"/>
          <w:sz w:val="20"/>
          <w:szCs w:val="20"/>
        </w:rPr>
        <w:t xml:space="preserve">☐  APA 7th edition format throughout</w:t>
      </w:r>
    </w:p>
    <w:p>
      <w:pPr>
        <w:spacing w:after="60" w:line="360" w:lineRule="auto"/>
        <w:jc w:val="left"/>
      </w:pPr>
      <w:r>
        <w:rPr>
          <w:rFonts w:ascii="Times New Roman" w:cs="Times New Roman" w:eastAsia="Times New Roman" w:hAnsi="Times New Roman"/>
          <w:sz w:val="20"/>
          <w:szCs w:val="20"/>
        </w:rPr>
        <w:t xml:space="preserve">☐  Full DOI links (https://doi.org/...) for ALL references with DOIs</w:t>
      </w:r>
    </w:p>
    <w:p>
      <w:pPr>
        <w:spacing w:after="60" w:line="360" w:lineRule="auto"/>
        <w:jc w:val="left"/>
      </w:pPr>
      <w:r>
        <w:rPr>
          <w:rFonts w:ascii="Times New Roman" w:cs="Times New Roman" w:eastAsia="Times New Roman" w:hAnsi="Times New Roman"/>
          <w:sz w:val="20"/>
          <w:szCs w:val="20"/>
        </w:rPr>
        <w:t xml:space="preserve">☐  Reference list alphabetized by first author last name</w:t>
      </w:r>
    </w:p>
    <w:p>
      <w:pPr>
        <w:spacing w:after="60" w:line="360" w:lineRule="auto"/>
        <w:jc w:val="left"/>
      </w:pPr>
      <w:r>
        <w:rPr>
          <w:rFonts w:ascii="Times New Roman" w:cs="Times New Roman" w:eastAsia="Times New Roman" w:hAnsi="Times New Roman"/>
          <w:sz w:val="20"/>
          <w:szCs w:val="20"/>
        </w:rPr>
        <w:t xml:space="preserve">☐  Hanging indent for each reference entry</w:t>
      </w:r>
    </w:p>
    <w:p>
      <w:pPr>
        <w:spacing w:after="60" w:line="360" w:lineRule="auto"/>
        <w:jc w:val="left"/>
      </w:pPr>
      <w:r>
        <w:rPr>
          <w:rFonts w:ascii="Times New Roman" w:cs="Times New Roman" w:eastAsia="Times New Roman" w:hAnsi="Times New Roman"/>
          <w:sz w:val="20"/>
          <w:szCs w:val="20"/>
        </w:rPr>
        <w:t xml:space="preserve">☐  Verify Banalieva &amp; Dhanaraj 2019 DOI</w:t>
      </w:r>
    </w:p>
    <w:p>
      <w:pPr>
        <w:spacing w:after="60" w:line="360" w:lineRule="auto"/>
        <w:jc w:val="left"/>
      </w:pPr>
      <w:r>
        <w:rPr>
          <w:rFonts w:ascii="Times New Roman" w:cs="Times New Roman" w:eastAsia="Times New Roman" w:hAnsi="Times New Roman"/>
          <w:sz w:val="20"/>
          <w:szCs w:val="20"/>
        </w:rPr>
        <w:t xml:space="preserve">☐  Verify Stallkamp &amp; Schotter 2021 DOI</w:t>
      </w:r>
    </w:p>
    <w:p>
      <w:pPr>
        <w:spacing w:after="60" w:line="360" w:lineRule="auto"/>
        <w:jc w:val="left"/>
      </w:pPr>
      <w:r>
        <w:rPr>
          <w:rFonts w:ascii="Times New Roman" w:cs="Times New Roman" w:eastAsia="Times New Roman" w:hAnsi="Times New Roman"/>
          <w:sz w:val="20"/>
          <w:szCs w:val="20"/>
        </w:rPr>
        <w:t xml:space="preserve">☐  Verify Brynjolfsson, Rock &amp; Syverson 2021 AEJ-Macro DOI (if cited)</w:t>
      </w:r>
    </w:p>
    <w:p>
      <w:pPr>
        <w:spacing w:after="60" w:line="360" w:lineRule="auto"/>
        <w:jc w:val="left"/>
      </w:pPr>
      <w:r>
        <w:rPr>
          <w:rFonts w:ascii="Times New Roman" w:cs="Times New Roman" w:eastAsia="Times New Roman" w:hAnsi="Times New Roman"/>
          <w:sz w:val="20"/>
          <w:szCs w:val="20"/>
        </w:rPr>
        <w:t xml:space="preserve">☐  Contractor 2007 if cited: confirmed correct DOI suffix is 0024-2 (NOT 0024-4)</w:t>
      </w:r>
    </w:p>
    <w:p>
      <w:pPr>
        <w:spacing w:after="180" w:before="360"/>
        <w:jc w:val="left"/>
      </w:pPr>
      <w:r>
        <w:rPr>
          <w:rFonts w:ascii="Times New Roman" w:cs="Times New Roman" w:eastAsia="Times New Roman" w:hAnsi="Times New Roman"/>
          <w:b/>
          <w:bCs/>
          <w:sz w:val="22"/>
          <w:szCs w:val="22"/>
        </w:rPr>
        <w:t xml:space="preserve">G. Tables and Figures</w:t>
      </w:r>
    </w:p>
    <w:p>
      <w:pPr>
        <w:spacing w:after="60" w:line="360" w:lineRule="auto"/>
        <w:jc w:val="left"/>
      </w:pPr>
      <w:r>
        <w:rPr>
          <w:rFonts w:ascii="Times New Roman" w:cs="Times New Roman" w:eastAsia="Times New Roman" w:hAnsi="Times New Roman"/>
          <w:sz w:val="20"/>
          <w:szCs w:val="20"/>
        </w:rPr>
        <w:t xml:space="preserve">☐  Table 1: Descriptive statistics + correlations</w:t>
      </w:r>
    </w:p>
    <w:p>
      <w:pPr>
        <w:spacing w:after="60" w:line="360" w:lineRule="auto"/>
        <w:jc w:val="left"/>
      </w:pPr>
      <w:r>
        <w:rPr>
          <w:rFonts w:ascii="Times New Roman" w:cs="Times New Roman" w:eastAsia="Times New Roman" w:hAnsi="Times New Roman"/>
          <w:sz w:val="20"/>
          <w:szCs w:val="20"/>
        </w:rPr>
        <w:t xml:space="preserve">☐  Table 2: Hierarchical OLS regression M0–M8</w:t>
      </w:r>
    </w:p>
    <w:p>
      <w:pPr>
        <w:spacing w:after="60" w:line="360" w:lineRule="auto"/>
        <w:jc w:val="left"/>
      </w:pPr>
      <w:r>
        <w:rPr>
          <w:rFonts w:ascii="Times New Roman" w:cs="Times New Roman" w:eastAsia="Times New Roman" w:hAnsi="Times New Roman"/>
          <w:sz w:val="20"/>
          <w:szCs w:val="20"/>
        </w:rPr>
        <w:t xml:space="preserve">☐  Table 3: Robustness checks</w:t>
      </w:r>
    </w:p>
    <w:p>
      <w:pPr>
        <w:spacing w:after="60" w:line="360" w:lineRule="auto"/>
        <w:jc w:val="left"/>
      </w:pPr>
      <w:r>
        <w:rPr>
          <w:rFonts w:ascii="Times New Roman" w:cs="Times New Roman" w:eastAsia="Times New Roman" w:hAnsi="Times New Roman"/>
          <w:sz w:val="20"/>
          <w:szCs w:val="20"/>
        </w:rPr>
        <w:t xml:space="preserve">☐  Table 4: Marginal effects of DAI across FSTS levels</w:t>
      </w:r>
    </w:p>
    <w:p>
      <w:pPr>
        <w:spacing w:after="60" w:line="360" w:lineRule="auto"/>
        <w:jc w:val="left"/>
      </w:pPr>
      <w:r>
        <w:rPr>
          <w:rFonts w:ascii="Times New Roman" w:cs="Times New Roman" w:eastAsia="Times New Roman" w:hAnsi="Times New Roman"/>
          <w:sz w:val="20"/>
          <w:szCs w:val="20"/>
        </w:rPr>
        <w:t xml:space="preserve">☐  All tables numbered consecutively</w:t>
      </w:r>
    </w:p>
    <w:p>
      <w:pPr>
        <w:spacing w:after="60" w:line="360" w:lineRule="auto"/>
        <w:jc w:val="left"/>
      </w:pPr>
      <w:r>
        <w:rPr>
          <w:rFonts w:ascii="Times New Roman" w:cs="Times New Roman" w:eastAsia="Times New Roman" w:hAnsi="Times New Roman"/>
          <w:sz w:val="20"/>
          <w:szCs w:val="20"/>
        </w:rPr>
        <w:t xml:space="preserve">☐  Table captions: only first word capitalized</w:t>
      </w:r>
    </w:p>
    <w:p>
      <w:pPr>
        <w:spacing w:after="60" w:line="360" w:lineRule="auto"/>
        <w:jc w:val="left"/>
      </w:pPr>
      <w:r>
        <w:rPr>
          <w:rFonts w:ascii="Times New Roman" w:cs="Times New Roman" w:eastAsia="Times New Roman" w:hAnsi="Times New Roman"/>
          <w:sz w:val="20"/>
          <w:szCs w:val="20"/>
        </w:rPr>
        <w:t xml:space="preserve">☐  Standard errors in parentheses below coefficients</w:t>
      </w:r>
    </w:p>
    <w:p>
      <w:pPr>
        <w:spacing w:after="60" w:line="360" w:lineRule="auto"/>
        <w:jc w:val="left"/>
      </w:pPr>
      <w:r>
        <w:rPr>
          <w:rFonts w:ascii="Times New Roman" w:cs="Times New Roman" w:eastAsia="Times New Roman" w:hAnsi="Times New Roman"/>
          <w:sz w:val="20"/>
          <w:szCs w:val="20"/>
        </w:rPr>
        <w:t xml:space="preserve">☐  Significance stars: *** p&lt;.001, ** p&lt;.01, * p&lt;.05, † p&lt;.10</w:t>
      </w:r>
    </w:p>
    <w:p>
      <w:pPr>
        <w:spacing w:after="60" w:line="360" w:lineRule="auto"/>
        <w:jc w:val="left"/>
      </w:pPr>
      <w:r>
        <w:rPr>
          <w:rFonts w:ascii="Times New Roman" w:cs="Times New Roman" w:eastAsia="Times New Roman" w:hAnsi="Times New Roman"/>
          <w:sz w:val="20"/>
          <w:szCs w:val="20"/>
        </w:rPr>
        <w:t xml:space="preserve">☐  Figure 1: DAI marginal effect across FSTS</w:t>
      </w:r>
    </w:p>
    <w:p>
      <w:pPr>
        <w:spacing w:after="60" w:line="360" w:lineRule="auto"/>
        <w:jc w:val="left"/>
      </w:pPr>
      <w:r>
        <w:rPr>
          <w:rFonts w:ascii="Times New Roman" w:cs="Times New Roman" w:eastAsia="Times New Roman" w:hAnsi="Times New Roman"/>
          <w:sz w:val="20"/>
          <w:szCs w:val="20"/>
        </w:rPr>
        <w:t xml:space="preserve">☐  Figure 2: I-P curve</w:t>
      </w:r>
    </w:p>
    <w:p>
      <w:pPr>
        <w:spacing w:after="60" w:line="360" w:lineRule="auto"/>
        <w:jc w:val="left"/>
      </w:pPr>
      <w:r>
        <w:rPr>
          <w:rFonts w:ascii="Times New Roman" w:cs="Times New Roman" w:eastAsia="Times New Roman" w:hAnsi="Times New Roman"/>
          <w:sz w:val="20"/>
          <w:szCs w:val="20"/>
        </w:rPr>
        <w:t xml:space="preserve">☐  Figures uploaded as separate high-res files (TIFF/EPS/PDF)</w:t>
      </w:r>
    </w:p>
    <w:p>
      <w:pPr>
        <w:spacing w:after="180" w:before="360"/>
        <w:jc w:val="left"/>
      </w:pPr>
      <w:r>
        <w:rPr>
          <w:rFonts w:ascii="Times New Roman" w:cs="Times New Roman" w:eastAsia="Times New Roman" w:hAnsi="Times New Roman"/>
          <w:b/>
          <w:bCs/>
          <w:sz w:val="22"/>
          <w:szCs w:val="22"/>
        </w:rPr>
        <w:t xml:space="preserve">H. Cover Letter (PART 2 of this package)</w:t>
      </w:r>
    </w:p>
    <w:p>
      <w:pPr>
        <w:spacing w:after="60" w:line="360" w:lineRule="auto"/>
        <w:jc w:val="left"/>
      </w:pPr>
      <w:r>
        <w:rPr>
          <w:rFonts w:ascii="Times New Roman" w:cs="Times New Roman" w:eastAsia="Times New Roman" w:hAnsi="Times New Roman"/>
          <w:sz w:val="20"/>
          <w:szCs w:val="20"/>
        </w:rPr>
        <w:t xml:space="preserve">☐  Cover letter customized with final title</w:t>
      </w:r>
    </w:p>
    <w:p>
      <w:pPr>
        <w:spacing w:after="60" w:line="360" w:lineRule="auto"/>
        <w:jc w:val="left"/>
      </w:pPr>
      <w:r>
        <w:rPr>
          <w:rFonts w:ascii="Times New Roman" w:cs="Times New Roman" w:eastAsia="Times New Roman" w:hAnsi="Times New Roman"/>
          <w:sz w:val="20"/>
          <w:szCs w:val="20"/>
        </w:rPr>
        <w:t xml:space="preserve">☐  Cover letter affirms originality (not under simultaneous consideration)</w:t>
      </w:r>
    </w:p>
    <w:p>
      <w:pPr>
        <w:spacing w:after="60" w:line="360" w:lineRule="auto"/>
        <w:jc w:val="left"/>
      </w:pPr>
      <w:r>
        <w:rPr>
          <w:rFonts w:ascii="Times New Roman" w:cs="Times New Roman" w:eastAsia="Times New Roman" w:hAnsi="Times New Roman"/>
          <w:sz w:val="20"/>
          <w:szCs w:val="20"/>
        </w:rPr>
        <w:t xml:space="preserve">☐  Cover letter discloses no funding + no competing interests</w:t>
      </w:r>
    </w:p>
    <w:p>
      <w:pPr>
        <w:spacing w:after="60" w:line="360" w:lineRule="auto"/>
        <w:jc w:val="left"/>
      </w:pPr>
      <w:r>
        <w:rPr>
          <w:rFonts w:ascii="Times New Roman" w:cs="Times New Roman" w:eastAsia="Times New Roman" w:hAnsi="Times New Roman"/>
          <w:sz w:val="20"/>
          <w:szCs w:val="20"/>
        </w:rPr>
        <w:t xml:space="preserve">☐  Cover letter discloses Writefull copy-edit usage</w:t>
      </w:r>
    </w:p>
    <w:p>
      <w:pPr>
        <w:spacing w:after="180" w:before="360"/>
        <w:jc w:val="left"/>
      </w:pPr>
      <w:r>
        <w:rPr>
          <w:rFonts w:ascii="Times New Roman" w:cs="Times New Roman" w:eastAsia="Times New Roman" w:hAnsi="Times New Roman"/>
          <w:b/>
          <w:bCs/>
          <w:sz w:val="22"/>
          <w:szCs w:val="22"/>
        </w:rPr>
        <w:t xml:space="preserve">I. Pre-Submission Sanity Checks</w:t>
      </w:r>
    </w:p>
    <w:p>
      <w:pPr>
        <w:spacing w:after="60" w:line="360" w:lineRule="auto"/>
        <w:jc w:val="left"/>
      </w:pPr>
      <w:r>
        <w:rPr>
          <w:rFonts w:ascii="Times New Roman" w:cs="Times New Roman" w:eastAsia="Times New Roman" w:hAnsi="Times New Roman"/>
          <w:sz w:val="20"/>
          <w:szCs w:val="20"/>
        </w:rPr>
        <w:t xml:space="preserve">☐  Read the entire manuscript end-to-end one final time</w:t>
      </w:r>
    </w:p>
    <w:p>
      <w:pPr>
        <w:spacing w:after="60" w:line="360" w:lineRule="auto"/>
        <w:jc w:val="left"/>
      </w:pPr>
      <w:r>
        <w:rPr>
          <w:rFonts w:ascii="Times New Roman" w:cs="Times New Roman" w:eastAsia="Times New Roman" w:hAnsi="Times New Roman"/>
          <w:sz w:val="20"/>
          <w:szCs w:val="20"/>
        </w:rPr>
        <w:t xml:space="preserve">☐  Run plagiarism check (Turnitin or similar)</w:t>
      </w:r>
    </w:p>
    <w:p>
      <w:pPr>
        <w:spacing w:after="60" w:line="360" w:lineRule="auto"/>
        <w:jc w:val="left"/>
      </w:pPr>
      <w:r>
        <w:rPr>
          <w:rFonts w:ascii="Times New Roman" w:cs="Times New Roman" w:eastAsia="Times New Roman" w:hAnsi="Times New Roman"/>
          <w:sz w:val="20"/>
          <w:szCs w:val="20"/>
        </w:rPr>
        <w:t xml:space="preserve">☐  Show thầy Tú for final approval BEFORE clicking submit</w:t>
      </w:r>
    </w:p>
    <w:p>
      <w:pPr>
        <w:spacing w:after="60" w:line="360" w:lineRule="auto"/>
        <w:jc w:val="left"/>
      </w:pPr>
      <w:r>
        <w:rPr>
          <w:rFonts w:ascii="Times New Roman" w:cs="Times New Roman" w:eastAsia="Times New Roman" w:hAnsi="Times New Roman"/>
          <w:sz w:val="20"/>
          <w:szCs w:val="20"/>
        </w:rPr>
        <w:t xml:space="preserve">☐  Verify reviewer-defense logic with thầy Tú</w:t>
      </w:r>
    </w:p>
    <w:p>
      <w:pPr>
        <w:spacing w:after="180" w:before="360"/>
        <w:jc w:val="left"/>
      </w:pPr>
      <w:r>
        <w:rPr>
          <w:rFonts w:ascii="Times New Roman" w:cs="Times New Roman" w:eastAsia="Times New Roman" w:hAnsi="Times New Roman"/>
          <w:b/>
          <w:bCs/>
          <w:sz w:val="22"/>
          <w:szCs w:val="22"/>
        </w:rPr>
        <w:t xml:space="preserve">J. Editorial Manager Upload Sequence</w:t>
      </w:r>
    </w:p>
    <w:p>
      <w:pPr>
        <w:spacing w:after="0" w:line="480" w:lineRule="auto"/>
        <w:jc w:val="both"/>
      </w:pPr>
      <w:r>
        <w:rPr>
          <w:rFonts w:ascii="Times New Roman" w:cs="Times New Roman" w:eastAsia="Times New Roman" w:hAnsi="Times New Roman"/>
          <w:b/>
          <w:bCs/>
          <w:sz w:val="20"/>
          <w:szCs w:val="20"/>
        </w:rPr>
        <w:t xml:space="preserve">Recommended upload order in https://www.editorialmanager.com/mirv/:</w:t>
      </w:r>
    </w:p>
    <w:p>
      <w:pPr>
        <w:spacing w:after="60" w:line="360" w:lineRule="auto"/>
        <w:jc w:val="left"/>
      </w:pPr>
      <w:r>
        <w:rPr>
          <w:rFonts w:ascii="Times New Roman" w:cs="Times New Roman" w:eastAsia="Times New Roman" w:hAnsi="Times New Roman"/>
          <w:sz w:val="20"/>
          <w:szCs w:val="20"/>
        </w:rPr>
        <w:t xml:space="preserve">☐  1. Cover Letter (.docx) — PART 2 of this package</w:t>
      </w:r>
    </w:p>
    <w:p>
      <w:pPr>
        <w:spacing w:after="60" w:line="360" w:lineRule="auto"/>
        <w:jc w:val="left"/>
      </w:pPr>
      <w:r>
        <w:rPr>
          <w:rFonts w:ascii="Times New Roman" w:cs="Times New Roman" w:eastAsia="Times New Roman" w:hAnsi="Times New Roman"/>
          <w:sz w:val="20"/>
          <w:szCs w:val="20"/>
        </w:rPr>
        <w:t xml:space="preserve">☐  2. Title Page (separate file, .docx) — PART 1 of this package</w:t>
      </w:r>
    </w:p>
    <w:p>
      <w:pPr>
        <w:spacing w:after="60" w:line="360" w:lineRule="auto"/>
        <w:jc w:val="left"/>
      </w:pPr>
      <w:r>
        <w:rPr>
          <w:rFonts w:ascii="Times New Roman" w:cs="Times New Roman" w:eastAsia="Times New Roman" w:hAnsi="Times New Roman"/>
          <w:sz w:val="20"/>
          <w:szCs w:val="20"/>
        </w:rPr>
        <w:t xml:space="preserve">☐  3. Manuscript Blinded (.docx) — PART 3 of this package, Tables/Figures embedded</w:t>
      </w:r>
    </w:p>
    <w:p>
      <w:pPr>
        <w:spacing w:after="60" w:line="360" w:lineRule="auto"/>
        <w:jc w:val="left"/>
      </w:pPr>
      <w:r>
        <w:rPr>
          <w:rFonts w:ascii="Times New Roman" w:cs="Times New Roman" w:eastAsia="Times New Roman" w:hAnsi="Times New Roman"/>
          <w:sz w:val="20"/>
          <w:szCs w:val="20"/>
        </w:rPr>
        <w:t xml:space="preserve">☐  4. Figure 1 (high-res .tif/.eps/.pdf) — separate file</w:t>
      </w:r>
    </w:p>
    <w:p>
      <w:pPr>
        <w:spacing w:after="60" w:line="360" w:lineRule="auto"/>
        <w:jc w:val="left"/>
      </w:pPr>
      <w:r>
        <w:rPr>
          <w:rFonts w:ascii="Times New Roman" w:cs="Times New Roman" w:eastAsia="Times New Roman" w:hAnsi="Times New Roman"/>
          <w:sz w:val="20"/>
          <w:szCs w:val="20"/>
        </w:rPr>
        <w:t xml:space="preserve">☐  5. Figure 2 (high-res .tif/.eps/.pdf) — separate file</w:t>
      </w:r>
    </w:p>
    <w:p>
      <w:pPr>
        <w:spacing w:after="60" w:line="360" w:lineRule="auto"/>
        <w:jc w:val="left"/>
      </w:pPr>
      <w:r>
        <w:rPr>
          <w:rFonts w:ascii="Times New Roman" w:cs="Times New Roman" w:eastAsia="Times New Roman" w:hAnsi="Times New Roman"/>
          <w:sz w:val="20"/>
          <w:szCs w:val="20"/>
        </w:rPr>
        <w:t xml:space="preserve">☐  6. Reply to Editor questionnaire</w:t>
      </w:r>
    </w:p>
    <w:p>
      <w:pPr>
        <w:spacing w:after="60" w:line="360" w:lineRule="auto"/>
        <w:jc w:val="left"/>
      </w:pPr>
      <w:r>
        <w:rPr>
          <w:rFonts w:ascii="Times New Roman" w:cs="Times New Roman" w:eastAsia="Times New Roman" w:hAnsi="Times New Roman"/>
          <w:sz w:val="20"/>
          <w:szCs w:val="20"/>
        </w:rPr>
        <w:t xml:space="preserve">☐  7. Submit</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
              <w:rPr>
                <w:rFonts w:ascii="Times New Roman" w:hAnsi="Times New Roman"/>
                <w:b/>
                <w:sz w:val="16"/>
              </w:rPr>
              <w:t>Variable</w:t>
            </w:r>
          </w:p>
        </w:tc>
        <w:tc>
          <w:tcPr>
            <w:tcW w:type="dxa" w:w="1560"/>
          </w:tcPr>
          <w:p>
            <w:pPr>
              <w:jc w:val="center"/>
            </w:pPr>
            <w:r/>
            <w:r>
              <w:rPr>
                <w:rFonts w:ascii="Times New Roman" w:hAnsi="Times New Roman"/>
                <w:b/>
                <w:sz w:val="16"/>
              </w:rPr>
              <w:t>N</w:t>
            </w:r>
          </w:p>
        </w:tc>
        <w:tc>
          <w:tcPr>
            <w:tcW w:type="dxa" w:w="1560"/>
          </w:tcPr>
          <w:p>
            <w:pPr>
              <w:jc w:val="center"/>
            </w:pPr>
            <w:r/>
            <w:r>
              <w:rPr>
                <w:rFonts w:ascii="Times New Roman" w:hAnsi="Times New Roman"/>
                <w:b/>
                <w:sz w:val="16"/>
              </w:rPr>
              <w:t>Mean</w:t>
            </w:r>
          </w:p>
        </w:tc>
        <w:tc>
          <w:tcPr>
            <w:tcW w:type="dxa" w:w="1560"/>
          </w:tcPr>
          <w:p>
            <w:pPr>
              <w:jc w:val="center"/>
            </w:pPr>
            <w:r/>
            <w:r>
              <w:rPr>
                <w:rFonts w:ascii="Times New Roman" w:hAnsi="Times New Roman"/>
                <w:b/>
                <w:sz w:val="16"/>
              </w:rPr>
              <w:t>SD</w:t>
            </w:r>
          </w:p>
        </w:tc>
        <w:tc>
          <w:tcPr>
            <w:tcW w:type="dxa" w:w="1560"/>
          </w:tcPr>
          <w:p>
            <w:pPr>
              <w:jc w:val="center"/>
            </w:pPr>
            <w:r/>
            <w:r>
              <w:rPr>
                <w:rFonts w:ascii="Times New Roman" w:hAnsi="Times New Roman"/>
                <w:b/>
                <w:sz w:val="16"/>
              </w:rPr>
              <w:t>Min</w:t>
            </w:r>
          </w:p>
        </w:tc>
        <w:tc>
          <w:tcPr>
            <w:tcW w:type="dxa" w:w="1560"/>
          </w:tcPr>
          <w:p>
            <w:pPr>
              <w:jc w:val="center"/>
            </w:pPr>
            <w:r/>
            <w:r>
              <w:rPr>
                <w:rFonts w:ascii="Times New Roman" w:hAnsi="Times New Roman"/>
                <w:b/>
                <w:sz w:val="16"/>
              </w:rPr>
              <w:t>Max</w:t>
            </w:r>
          </w:p>
        </w:tc>
      </w:tr>
      <w:tr>
        <w:tc>
          <w:tcPr>
            <w:tcW w:type="dxa" w:w="1560"/>
          </w:tcPr>
          <w:p>
            <w:pPr>
              <w:jc w:val="left"/>
            </w:pPr>
            <w:r/>
            <w:r>
              <w:rPr>
                <w:rFonts w:ascii="Times New Roman" w:hAnsi="Times New Roman"/>
                <w:b w:val="0"/>
                <w:sz w:val="16"/>
              </w:rPr>
              <w:t>Ln(LP)</w:t>
            </w:r>
          </w:p>
        </w:tc>
        <w:tc>
          <w:tcPr>
            <w:tcW w:type="dxa" w:w="1560"/>
          </w:tcPr>
          <w:p>
            <w:pPr>
              <w:jc w:val="center"/>
            </w:pPr>
            <w:r/>
            <w:r>
              <w:rPr>
                <w:rFonts w:ascii="Times New Roman" w:hAnsi="Times New Roman"/>
                <w:b w:val="0"/>
                <w:sz w:val="16"/>
              </w:rPr>
              <w:t>623</w:t>
            </w:r>
          </w:p>
        </w:tc>
        <w:tc>
          <w:tcPr>
            <w:tcW w:type="dxa" w:w="1560"/>
          </w:tcPr>
          <w:p>
            <w:pPr>
              <w:jc w:val="center"/>
            </w:pPr>
            <w:r/>
            <w:r>
              <w:rPr>
                <w:rFonts w:ascii="Times New Roman" w:hAnsi="Times New Roman"/>
                <w:b w:val="0"/>
                <w:sz w:val="16"/>
              </w:rPr>
              <w:t>11.354</w:t>
            </w:r>
          </w:p>
        </w:tc>
        <w:tc>
          <w:tcPr>
            <w:tcW w:type="dxa" w:w="1560"/>
          </w:tcPr>
          <w:p>
            <w:pPr>
              <w:jc w:val="center"/>
            </w:pPr>
            <w:r/>
            <w:r>
              <w:rPr>
                <w:rFonts w:ascii="Times New Roman" w:hAnsi="Times New Roman"/>
                <w:b w:val="0"/>
                <w:sz w:val="16"/>
              </w:rPr>
              <w:t>1.083</w:t>
            </w:r>
          </w:p>
        </w:tc>
        <w:tc>
          <w:tcPr>
            <w:tcW w:type="dxa" w:w="1560"/>
          </w:tcPr>
          <w:p>
            <w:pPr>
              <w:jc w:val="center"/>
            </w:pPr>
            <w:r/>
            <w:r>
              <w:rPr>
                <w:rFonts w:ascii="Times New Roman" w:hAnsi="Times New Roman"/>
                <w:b w:val="0"/>
                <w:sz w:val="16"/>
              </w:rPr>
              <w:t>7.601</w:t>
            </w:r>
          </w:p>
        </w:tc>
        <w:tc>
          <w:tcPr>
            <w:tcW w:type="dxa" w:w="1560"/>
          </w:tcPr>
          <w:p>
            <w:pPr>
              <w:jc w:val="center"/>
            </w:pPr>
            <w:r/>
            <w:r>
              <w:rPr>
                <w:rFonts w:ascii="Times New Roman" w:hAnsi="Times New Roman"/>
                <w:b w:val="0"/>
                <w:sz w:val="16"/>
              </w:rPr>
              <w:t>15.895</w:t>
            </w:r>
          </w:p>
        </w:tc>
      </w:tr>
      <w:tr>
        <w:tc>
          <w:tcPr>
            <w:tcW w:type="dxa" w:w="1560"/>
          </w:tcPr>
          <w:p>
            <w:pPr>
              <w:jc w:val="left"/>
            </w:pPr>
            <w:r/>
            <w:r>
              <w:rPr>
                <w:rFonts w:ascii="Times New Roman" w:hAnsi="Times New Roman"/>
                <w:b w:val="0"/>
                <w:sz w:val="16"/>
              </w:rPr>
              <w:t>FSTS</w:t>
            </w:r>
          </w:p>
        </w:tc>
        <w:tc>
          <w:tcPr>
            <w:tcW w:type="dxa" w:w="1560"/>
          </w:tcPr>
          <w:p>
            <w:pPr>
              <w:jc w:val="center"/>
            </w:pPr>
            <w:r/>
            <w:r>
              <w:rPr>
                <w:rFonts w:ascii="Times New Roman" w:hAnsi="Times New Roman"/>
                <w:b w:val="0"/>
                <w:sz w:val="16"/>
              </w:rPr>
              <w:t>623</w:t>
            </w:r>
          </w:p>
        </w:tc>
        <w:tc>
          <w:tcPr>
            <w:tcW w:type="dxa" w:w="1560"/>
          </w:tcPr>
          <w:p>
            <w:pPr>
              <w:jc w:val="center"/>
            </w:pPr>
            <w:r/>
            <w:r>
              <w:rPr>
                <w:rFonts w:ascii="Times New Roman" w:hAnsi="Times New Roman"/>
                <w:b w:val="0"/>
                <w:sz w:val="16"/>
              </w:rPr>
              <w:t>0.047</w:t>
            </w:r>
          </w:p>
        </w:tc>
        <w:tc>
          <w:tcPr>
            <w:tcW w:type="dxa" w:w="1560"/>
          </w:tcPr>
          <w:p>
            <w:pPr>
              <w:jc w:val="center"/>
            </w:pPr>
            <w:r/>
            <w:r>
              <w:rPr>
                <w:rFonts w:ascii="Times New Roman" w:hAnsi="Times New Roman"/>
                <w:b w:val="0"/>
                <w:sz w:val="16"/>
              </w:rPr>
              <w:t>0.154</w:t>
            </w:r>
          </w:p>
        </w:tc>
        <w:tc>
          <w:tcPr>
            <w:tcW w:type="dxa" w:w="1560"/>
          </w:tcPr>
          <w:p>
            <w:pPr>
              <w:jc w:val="center"/>
            </w:pPr>
            <w:r/>
            <w:r>
              <w:rPr>
                <w:rFonts w:ascii="Times New Roman" w:hAnsi="Times New Roman"/>
                <w:b w:val="0"/>
                <w:sz w:val="16"/>
              </w:rPr>
              <w:t>0.000</w:t>
            </w:r>
          </w:p>
        </w:tc>
        <w:tc>
          <w:tcPr>
            <w:tcW w:type="dxa" w:w="1560"/>
          </w:tcPr>
          <w:p>
            <w:pPr>
              <w:jc w:val="center"/>
            </w:pPr>
            <w:r/>
            <w:r>
              <w:rPr>
                <w:rFonts w:ascii="Times New Roman" w:hAnsi="Times New Roman"/>
                <w:b w:val="0"/>
                <w:sz w:val="16"/>
              </w:rPr>
              <w:t>1.000</w:t>
            </w:r>
          </w:p>
        </w:tc>
      </w:tr>
      <w:tr>
        <w:tc>
          <w:tcPr>
            <w:tcW w:type="dxa" w:w="1560"/>
          </w:tcPr>
          <w:p>
            <w:pPr>
              <w:jc w:val="left"/>
            </w:pPr>
            <w:r/>
            <w:r>
              <w:rPr>
                <w:rFonts w:ascii="Times New Roman" w:hAnsi="Times New Roman"/>
                <w:b w:val="0"/>
                <w:sz w:val="16"/>
              </w:rPr>
              <w:t>TCI</w:t>
            </w:r>
          </w:p>
        </w:tc>
        <w:tc>
          <w:tcPr>
            <w:tcW w:type="dxa" w:w="1560"/>
          </w:tcPr>
          <w:p>
            <w:pPr>
              <w:jc w:val="center"/>
            </w:pPr>
            <w:r/>
            <w:r>
              <w:rPr>
                <w:rFonts w:ascii="Times New Roman" w:hAnsi="Times New Roman"/>
                <w:b w:val="0"/>
                <w:sz w:val="16"/>
              </w:rPr>
              <w:t>623</w:t>
            </w:r>
          </w:p>
        </w:tc>
        <w:tc>
          <w:tcPr>
            <w:tcW w:type="dxa" w:w="1560"/>
          </w:tcPr>
          <w:p>
            <w:pPr>
              <w:jc w:val="center"/>
            </w:pPr>
            <w:r/>
            <w:r>
              <w:rPr>
                <w:rFonts w:ascii="Times New Roman" w:hAnsi="Times New Roman"/>
                <w:b w:val="0"/>
                <w:sz w:val="16"/>
              </w:rPr>
              <w:t>0.161</w:t>
            </w:r>
          </w:p>
        </w:tc>
        <w:tc>
          <w:tcPr>
            <w:tcW w:type="dxa" w:w="1560"/>
          </w:tcPr>
          <w:p>
            <w:pPr>
              <w:jc w:val="center"/>
            </w:pPr>
            <w:r/>
            <w:r>
              <w:rPr>
                <w:rFonts w:ascii="Times New Roman" w:hAnsi="Times New Roman"/>
                <w:b w:val="0"/>
                <w:sz w:val="16"/>
              </w:rPr>
              <w:t>0.210</w:t>
            </w:r>
          </w:p>
        </w:tc>
        <w:tc>
          <w:tcPr>
            <w:tcW w:type="dxa" w:w="1560"/>
          </w:tcPr>
          <w:p>
            <w:pPr>
              <w:jc w:val="center"/>
            </w:pPr>
            <w:r/>
            <w:r>
              <w:rPr>
                <w:rFonts w:ascii="Times New Roman" w:hAnsi="Times New Roman"/>
                <w:b w:val="0"/>
                <w:sz w:val="16"/>
              </w:rPr>
              <w:t>0.000</w:t>
            </w:r>
          </w:p>
        </w:tc>
        <w:tc>
          <w:tcPr>
            <w:tcW w:type="dxa" w:w="1560"/>
          </w:tcPr>
          <w:p>
            <w:pPr>
              <w:jc w:val="center"/>
            </w:pPr>
            <w:r/>
            <w:r>
              <w:rPr>
                <w:rFonts w:ascii="Times New Roman" w:hAnsi="Times New Roman"/>
                <w:b w:val="0"/>
                <w:sz w:val="16"/>
              </w:rPr>
              <w:t>1.000</w:t>
            </w:r>
          </w:p>
        </w:tc>
      </w:tr>
      <w:tr>
        <w:tc>
          <w:tcPr>
            <w:tcW w:type="dxa" w:w="1560"/>
          </w:tcPr>
          <w:p>
            <w:pPr>
              <w:jc w:val="left"/>
            </w:pPr>
            <w:r/>
            <w:r>
              <w:rPr>
                <w:rFonts w:ascii="Times New Roman" w:hAnsi="Times New Roman"/>
                <w:b w:val="0"/>
                <w:sz w:val="16"/>
              </w:rPr>
              <w:t>DAI</w:t>
            </w:r>
          </w:p>
        </w:tc>
        <w:tc>
          <w:tcPr>
            <w:tcW w:type="dxa" w:w="1560"/>
          </w:tcPr>
          <w:p>
            <w:pPr>
              <w:jc w:val="center"/>
            </w:pPr>
            <w:r/>
            <w:r>
              <w:rPr>
                <w:rFonts w:ascii="Times New Roman" w:hAnsi="Times New Roman"/>
                <w:b w:val="0"/>
                <w:sz w:val="16"/>
              </w:rPr>
              <w:t>617</w:t>
            </w:r>
          </w:p>
        </w:tc>
        <w:tc>
          <w:tcPr>
            <w:tcW w:type="dxa" w:w="1560"/>
          </w:tcPr>
          <w:p>
            <w:pPr>
              <w:jc w:val="center"/>
            </w:pPr>
            <w:r/>
            <w:r>
              <w:rPr>
                <w:rFonts w:ascii="Times New Roman" w:hAnsi="Times New Roman"/>
                <w:b w:val="0"/>
                <w:sz w:val="16"/>
              </w:rPr>
              <w:t>0.700</w:t>
            </w:r>
          </w:p>
        </w:tc>
        <w:tc>
          <w:tcPr>
            <w:tcW w:type="dxa" w:w="1560"/>
          </w:tcPr>
          <w:p>
            <w:pPr>
              <w:jc w:val="center"/>
            </w:pPr>
            <w:r/>
            <w:r>
              <w:rPr>
                <w:rFonts w:ascii="Times New Roman" w:hAnsi="Times New Roman"/>
                <w:b w:val="0"/>
                <w:sz w:val="16"/>
              </w:rPr>
              <w:t>0.258</w:t>
            </w:r>
          </w:p>
        </w:tc>
        <w:tc>
          <w:tcPr>
            <w:tcW w:type="dxa" w:w="1560"/>
          </w:tcPr>
          <w:p>
            <w:pPr>
              <w:jc w:val="center"/>
            </w:pPr>
            <w:r/>
            <w:r>
              <w:rPr>
                <w:rFonts w:ascii="Times New Roman" w:hAnsi="Times New Roman"/>
                <w:b w:val="0"/>
                <w:sz w:val="16"/>
              </w:rPr>
              <w:t>0.000</w:t>
            </w:r>
          </w:p>
        </w:tc>
        <w:tc>
          <w:tcPr>
            <w:tcW w:type="dxa" w:w="1560"/>
          </w:tcPr>
          <w:p>
            <w:pPr>
              <w:jc w:val="center"/>
            </w:pPr>
            <w:r/>
            <w:r>
              <w:rPr>
                <w:rFonts w:ascii="Times New Roman" w:hAnsi="Times New Roman"/>
                <w:b w:val="0"/>
                <w:sz w:val="16"/>
              </w:rPr>
              <w:t>1.000</w:t>
            </w:r>
          </w:p>
        </w:tc>
      </w:tr>
      <w:tr>
        <w:tc>
          <w:tcPr>
            <w:tcW w:type="dxa" w:w="1560"/>
          </w:tcPr>
          <w:p>
            <w:pPr>
              <w:jc w:val="left"/>
            </w:pPr>
            <w:r/>
            <w:r>
              <w:rPr>
                <w:rFonts w:ascii="Times New Roman" w:hAnsi="Times New Roman"/>
                <w:b w:val="0"/>
                <w:sz w:val="16"/>
              </w:rPr>
              <w:t>Foreign tech</w:t>
            </w:r>
          </w:p>
        </w:tc>
        <w:tc>
          <w:tcPr>
            <w:tcW w:type="dxa" w:w="1560"/>
          </w:tcPr>
          <w:p>
            <w:pPr>
              <w:jc w:val="center"/>
            </w:pPr>
            <w:r/>
            <w:r>
              <w:rPr>
                <w:rFonts w:ascii="Times New Roman" w:hAnsi="Times New Roman"/>
                <w:b w:val="0"/>
                <w:sz w:val="16"/>
              </w:rPr>
              <w:t>621</w:t>
            </w:r>
          </w:p>
        </w:tc>
        <w:tc>
          <w:tcPr>
            <w:tcW w:type="dxa" w:w="1560"/>
          </w:tcPr>
          <w:p>
            <w:pPr>
              <w:jc w:val="center"/>
            </w:pPr>
            <w:r/>
            <w:r>
              <w:rPr>
                <w:rFonts w:ascii="Times New Roman" w:hAnsi="Times New Roman"/>
                <w:b w:val="0"/>
                <w:sz w:val="16"/>
              </w:rPr>
              <w:t>0.150</w:t>
            </w:r>
          </w:p>
        </w:tc>
        <w:tc>
          <w:tcPr>
            <w:tcW w:type="dxa" w:w="1560"/>
          </w:tcPr>
          <w:p>
            <w:pPr>
              <w:jc w:val="center"/>
            </w:pPr>
            <w:r/>
            <w:r>
              <w:rPr>
                <w:rFonts w:ascii="Times New Roman" w:hAnsi="Times New Roman"/>
                <w:b w:val="0"/>
                <w:sz w:val="16"/>
              </w:rPr>
              <w:t>0.357</w:t>
            </w:r>
          </w:p>
        </w:tc>
        <w:tc>
          <w:tcPr>
            <w:tcW w:type="dxa" w:w="1560"/>
          </w:tcPr>
          <w:p>
            <w:pPr>
              <w:jc w:val="center"/>
            </w:pPr>
            <w:r/>
            <w:r>
              <w:rPr>
                <w:rFonts w:ascii="Times New Roman" w:hAnsi="Times New Roman"/>
                <w:b w:val="0"/>
                <w:sz w:val="16"/>
              </w:rPr>
              <w:t>0.000</w:t>
            </w:r>
          </w:p>
        </w:tc>
        <w:tc>
          <w:tcPr>
            <w:tcW w:type="dxa" w:w="1560"/>
          </w:tcPr>
          <w:p>
            <w:pPr>
              <w:jc w:val="center"/>
            </w:pPr>
            <w:r/>
            <w:r>
              <w:rPr>
                <w:rFonts w:ascii="Times New Roman" w:hAnsi="Times New Roman"/>
                <w:b w:val="0"/>
                <w:sz w:val="16"/>
              </w:rPr>
              <w:t>1.000</w:t>
            </w:r>
          </w:p>
        </w:tc>
      </w:tr>
      <w:tr>
        <w:tc>
          <w:tcPr>
            <w:tcW w:type="dxa" w:w="1560"/>
          </w:tcPr>
          <w:p>
            <w:pPr>
              <w:jc w:val="left"/>
            </w:pPr>
            <w:r/>
            <w:r>
              <w:rPr>
                <w:rFonts w:ascii="Times New Roman" w:hAnsi="Times New Roman"/>
                <w:b w:val="0"/>
                <w:sz w:val="16"/>
              </w:rPr>
              <w:t>Product innov</w:t>
            </w:r>
          </w:p>
        </w:tc>
        <w:tc>
          <w:tcPr>
            <w:tcW w:type="dxa" w:w="1560"/>
          </w:tcPr>
          <w:p>
            <w:pPr>
              <w:jc w:val="center"/>
            </w:pPr>
            <w:r/>
            <w:r>
              <w:rPr>
                <w:rFonts w:ascii="Times New Roman" w:hAnsi="Times New Roman"/>
                <w:b w:val="0"/>
                <w:sz w:val="16"/>
              </w:rPr>
              <w:t>623</w:t>
            </w:r>
          </w:p>
        </w:tc>
        <w:tc>
          <w:tcPr>
            <w:tcW w:type="dxa" w:w="1560"/>
          </w:tcPr>
          <w:p>
            <w:pPr>
              <w:jc w:val="center"/>
            </w:pPr>
            <w:r/>
            <w:r>
              <w:rPr>
                <w:rFonts w:ascii="Times New Roman" w:hAnsi="Times New Roman"/>
                <w:b w:val="0"/>
                <w:sz w:val="16"/>
              </w:rPr>
              <w:t>0.186</w:t>
            </w:r>
          </w:p>
        </w:tc>
        <w:tc>
          <w:tcPr>
            <w:tcW w:type="dxa" w:w="1560"/>
          </w:tcPr>
          <w:p>
            <w:pPr>
              <w:jc w:val="center"/>
            </w:pPr>
            <w:r/>
            <w:r>
              <w:rPr>
                <w:rFonts w:ascii="Times New Roman" w:hAnsi="Times New Roman"/>
                <w:b w:val="0"/>
                <w:sz w:val="16"/>
              </w:rPr>
              <w:t>0.390</w:t>
            </w:r>
          </w:p>
        </w:tc>
        <w:tc>
          <w:tcPr>
            <w:tcW w:type="dxa" w:w="1560"/>
          </w:tcPr>
          <w:p>
            <w:pPr>
              <w:jc w:val="center"/>
            </w:pPr>
            <w:r/>
            <w:r>
              <w:rPr>
                <w:rFonts w:ascii="Times New Roman" w:hAnsi="Times New Roman"/>
                <w:b w:val="0"/>
                <w:sz w:val="16"/>
              </w:rPr>
              <w:t>0.000</w:t>
            </w:r>
          </w:p>
        </w:tc>
        <w:tc>
          <w:tcPr>
            <w:tcW w:type="dxa" w:w="1560"/>
          </w:tcPr>
          <w:p>
            <w:pPr>
              <w:jc w:val="center"/>
            </w:pPr>
            <w:r/>
            <w:r>
              <w:rPr>
                <w:rFonts w:ascii="Times New Roman" w:hAnsi="Times New Roman"/>
                <w:b w:val="0"/>
                <w:sz w:val="16"/>
              </w:rPr>
              <w:t>1.000</w:t>
            </w:r>
          </w:p>
        </w:tc>
      </w:tr>
      <w:tr>
        <w:tc>
          <w:tcPr>
            <w:tcW w:type="dxa" w:w="1560"/>
          </w:tcPr>
          <w:p>
            <w:pPr>
              <w:jc w:val="left"/>
            </w:pPr>
            <w:r/>
            <w:r>
              <w:rPr>
                <w:rFonts w:ascii="Times New Roman" w:hAnsi="Times New Roman"/>
                <w:b w:val="0"/>
                <w:sz w:val="16"/>
              </w:rPr>
              <w:t>R&amp;D</w:t>
            </w:r>
          </w:p>
        </w:tc>
        <w:tc>
          <w:tcPr>
            <w:tcW w:type="dxa" w:w="1560"/>
          </w:tcPr>
          <w:p>
            <w:pPr>
              <w:jc w:val="center"/>
            </w:pPr>
            <w:r/>
            <w:r>
              <w:rPr>
                <w:rFonts w:ascii="Times New Roman" w:hAnsi="Times New Roman"/>
                <w:b w:val="0"/>
                <w:sz w:val="16"/>
              </w:rPr>
              <w:t>623</w:t>
            </w:r>
          </w:p>
        </w:tc>
        <w:tc>
          <w:tcPr>
            <w:tcW w:type="dxa" w:w="1560"/>
          </w:tcPr>
          <w:p>
            <w:pPr>
              <w:jc w:val="center"/>
            </w:pPr>
            <w:r/>
            <w:r>
              <w:rPr>
                <w:rFonts w:ascii="Times New Roman" w:hAnsi="Times New Roman"/>
                <w:b w:val="0"/>
                <w:sz w:val="16"/>
              </w:rPr>
              <w:t>0.075</w:t>
            </w:r>
          </w:p>
        </w:tc>
        <w:tc>
          <w:tcPr>
            <w:tcW w:type="dxa" w:w="1560"/>
          </w:tcPr>
          <w:p>
            <w:pPr>
              <w:jc w:val="center"/>
            </w:pPr>
            <w:r/>
            <w:r>
              <w:rPr>
                <w:rFonts w:ascii="Times New Roman" w:hAnsi="Times New Roman"/>
                <w:b w:val="0"/>
                <w:sz w:val="16"/>
              </w:rPr>
              <w:t>0.264</w:t>
            </w:r>
          </w:p>
        </w:tc>
        <w:tc>
          <w:tcPr>
            <w:tcW w:type="dxa" w:w="1560"/>
          </w:tcPr>
          <w:p>
            <w:pPr>
              <w:jc w:val="center"/>
            </w:pPr>
            <w:r/>
            <w:r>
              <w:rPr>
                <w:rFonts w:ascii="Times New Roman" w:hAnsi="Times New Roman"/>
                <w:b w:val="0"/>
                <w:sz w:val="16"/>
              </w:rPr>
              <w:t>0.000</w:t>
            </w:r>
          </w:p>
        </w:tc>
        <w:tc>
          <w:tcPr>
            <w:tcW w:type="dxa" w:w="1560"/>
          </w:tcPr>
          <w:p>
            <w:pPr>
              <w:jc w:val="center"/>
            </w:pPr>
            <w:r/>
            <w:r>
              <w:rPr>
                <w:rFonts w:ascii="Times New Roman" w:hAnsi="Times New Roman"/>
                <w:b w:val="0"/>
                <w:sz w:val="16"/>
              </w:rPr>
              <w:t>1.000</w:t>
            </w:r>
          </w:p>
        </w:tc>
      </w:tr>
      <w:tr>
        <w:tc>
          <w:tcPr>
            <w:tcW w:type="dxa" w:w="1560"/>
          </w:tcPr>
          <w:p>
            <w:pPr>
              <w:jc w:val="left"/>
            </w:pPr>
            <w:r/>
            <w:r>
              <w:rPr>
                <w:rFonts w:ascii="Times New Roman" w:hAnsi="Times New Roman"/>
                <w:b w:val="0"/>
                <w:sz w:val="16"/>
              </w:rPr>
              <w:t>Quality cert</w:t>
            </w:r>
          </w:p>
        </w:tc>
        <w:tc>
          <w:tcPr>
            <w:tcW w:type="dxa" w:w="1560"/>
          </w:tcPr>
          <w:p>
            <w:pPr>
              <w:jc w:val="center"/>
            </w:pPr>
            <w:r/>
            <w:r>
              <w:rPr>
                <w:rFonts w:ascii="Times New Roman" w:hAnsi="Times New Roman"/>
                <w:b w:val="0"/>
                <w:sz w:val="16"/>
              </w:rPr>
              <w:t>618</w:t>
            </w:r>
          </w:p>
        </w:tc>
        <w:tc>
          <w:tcPr>
            <w:tcW w:type="dxa" w:w="1560"/>
          </w:tcPr>
          <w:p>
            <w:pPr>
              <w:jc w:val="center"/>
            </w:pPr>
            <w:r/>
            <w:r>
              <w:rPr>
                <w:rFonts w:ascii="Times New Roman" w:hAnsi="Times New Roman"/>
                <w:b w:val="0"/>
                <w:sz w:val="16"/>
              </w:rPr>
              <w:t>0.233</w:t>
            </w:r>
          </w:p>
        </w:tc>
        <w:tc>
          <w:tcPr>
            <w:tcW w:type="dxa" w:w="1560"/>
          </w:tcPr>
          <w:p>
            <w:pPr>
              <w:jc w:val="center"/>
            </w:pPr>
            <w:r/>
            <w:r>
              <w:rPr>
                <w:rFonts w:ascii="Times New Roman" w:hAnsi="Times New Roman"/>
                <w:b w:val="0"/>
                <w:sz w:val="16"/>
              </w:rPr>
              <w:t>0.423</w:t>
            </w:r>
          </w:p>
        </w:tc>
        <w:tc>
          <w:tcPr>
            <w:tcW w:type="dxa" w:w="1560"/>
          </w:tcPr>
          <w:p>
            <w:pPr>
              <w:jc w:val="center"/>
            </w:pPr>
            <w:r/>
            <w:r>
              <w:rPr>
                <w:rFonts w:ascii="Times New Roman" w:hAnsi="Times New Roman"/>
                <w:b w:val="0"/>
                <w:sz w:val="16"/>
              </w:rPr>
              <w:t>0.000</w:t>
            </w:r>
          </w:p>
        </w:tc>
        <w:tc>
          <w:tcPr>
            <w:tcW w:type="dxa" w:w="1560"/>
          </w:tcPr>
          <w:p>
            <w:pPr>
              <w:jc w:val="center"/>
            </w:pPr>
            <w:r/>
            <w:r>
              <w:rPr>
                <w:rFonts w:ascii="Times New Roman" w:hAnsi="Times New Roman"/>
                <w:b w:val="0"/>
                <w:sz w:val="16"/>
              </w:rPr>
              <w:t>1.000</w:t>
            </w:r>
          </w:p>
        </w:tc>
      </w:tr>
      <w:tr>
        <w:tc>
          <w:tcPr>
            <w:tcW w:type="dxa" w:w="1560"/>
          </w:tcPr>
          <w:p>
            <w:pPr>
              <w:jc w:val="left"/>
            </w:pPr>
            <w:r/>
            <w:r>
              <w:rPr>
                <w:rFonts w:ascii="Times New Roman" w:hAnsi="Times New Roman"/>
                <w:b w:val="0"/>
                <w:sz w:val="16"/>
              </w:rPr>
              <w:t>Website</w:t>
            </w:r>
          </w:p>
        </w:tc>
        <w:tc>
          <w:tcPr>
            <w:tcW w:type="dxa" w:w="1560"/>
          </w:tcPr>
          <w:p>
            <w:pPr>
              <w:jc w:val="center"/>
            </w:pPr>
            <w:r/>
            <w:r>
              <w:rPr>
                <w:rFonts w:ascii="Times New Roman" w:hAnsi="Times New Roman"/>
                <w:b w:val="0"/>
                <w:sz w:val="16"/>
              </w:rPr>
              <w:t>623</w:t>
            </w:r>
          </w:p>
        </w:tc>
        <w:tc>
          <w:tcPr>
            <w:tcW w:type="dxa" w:w="1560"/>
          </w:tcPr>
          <w:p>
            <w:pPr>
              <w:jc w:val="center"/>
            </w:pPr>
            <w:r/>
            <w:r>
              <w:rPr>
                <w:rFonts w:ascii="Times New Roman" w:hAnsi="Times New Roman"/>
                <w:b w:val="0"/>
                <w:sz w:val="16"/>
              </w:rPr>
              <w:t>0.661</w:t>
            </w:r>
          </w:p>
        </w:tc>
        <w:tc>
          <w:tcPr>
            <w:tcW w:type="dxa" w:w="1560"/>
          </w:tcPr>
          <w:p>
            <w:pPr>
              <w:jc w:val="center"/>
            </w:pPr>
            <w:r/>
            <w:r>
              <w:rPr>
                <w:rFonts w:ascii="Times New Roman" w:hAnsi="Times New Roman"/>
                <w:b w:val="0"/>
                <w:sz w:val="16"/>
              </w:rPr>
              <w:t>0.474</w:t>
            </w:r>
          </w:p>
        </w:tc>
        <w:tc>
          <w:tcPr>
            <w:tcW w:type="dxa" w:w="1560"/>
          </w:tcPr>
          <w:p>
            <w:pPr>
              <w:jc w:val="center"/>
            </w:pPr>
            <w:r/>
            <w:r>
              <w:rPr>
                <w:rFonts w:ascii="Times New Roman" w:hAnsi="Times New Roman"/>
                <w:b w:val="0"/>
                <w:sz w:val="16"/>
              </w:rPr>
              <w:t>0.000</w:t>
            </w:r>
          </w:p>
        </w:tc>
        <w:tc>
          <w:tcPr>
            <w:tcW w:type="dxa" w:w="1560"/>
          </w:tcPr>
          <w:p>
            <w:pPr>
              <w:jc w:val="center"/>
            </w:pPr>
            <w:r/>
            <w:r>
              <w:rPr>
                <w:rFonts w:ascii="Times New Roman" w:hAnsi="Times New Roman"/>
                <w:b w:val="0"/>
                <w:sz w:val="16"/>
              </w:rPr>
              <w:t>1.000</w:t>
            </w:r>
          </w:p>
        </w:tc>
      </w:tr>
      <w:tr>
        <w:tc>
          <w:tcPr>
            <w:tcW w:type="dxa" w:w="1560"/>
          </w:tcPr>
          <w:p>
            <w:pPr>
              <w:jc w:val="left"/>
            </w:pPr>
            <w:r/>
            <w:r>
              <w:rPr>
                <w:rFonts w:ascii="Times New Roman" w:hAnsi="Times New Roman"/>
                <w:b w:val="0"/>
                <w:sz w:val="16"/>
              </w:rPr>
              <w:t>E-payment (%)</w:t>
            </w:r>
          </w:p>
        </w:tc>
        <w:tc>
          <w:tcPr>
            <w:tcW w:type="dxa" w:w="1560"/>
          </w:tcPr>
          <w:p>
            <w:pPr>
              <w:jc w:val="center"/>
            </w:pPr>
            <w:r/>
            <w:r>
              <w:rPr>
                <w:rFonts w:ascii="Times New Roman" w:hAnsi="Times New Roman"/>
                <w:b w:val="0"/>
                <w:sz w:val="16"/>
              </w:rPr>
              <w:t>616</w:t>
            </w:r>
          </w:p>
        </w:tc>
        <w:tc>
          <w:tcPr>
            <w:tcW w:type="dxa" w:w="1560"/>
          </w:tcPr>
          <w:p>
            <w:pPr>
              <w:jc w:val="center"/>
            </w:pPr>
            <w:r/>
            <w:r>
              <w:rPr>
                <w:rFonts w:ascii="Times New Roman" w:hAnsi="Times New Roman"/>
                <w:b w:val="0"/>
                <w:sz w:val="16"/>
              </w:rPr>
              <w:t>73.557</w:t>
            </w:r>
          </w:p>
        </w:tc>
        <w:tc>
          <w:tcPr>
            <w:tcW w:type="dxa" w:w="1560"/>
          </w:tcPr>
          <w:p>
            <w:pPr>
              <w:jc w:val="center"/>
            </w:pPr>
            <w:r/>
            <w:r>
              <w:rPr>
                <w:rFonts w:ascii="Times New Roman" w:hAnsi="Times New Roman"/>
                <w:b w:val="0"/>
                <w:sz w:val="16"/>
              </w:rPr>
              <w:t>26.026</w:t>
            </w:r>
          </w:p>
        </w:tc>
        <w:tc>
          <w:tcPr>
            <w:tcW w:type="dxa" w:w="1560"/>
          </w:tcPr>
          <w:p>
            <w:pPr>
              <w:jc w:val="center"/>
            </w:pPr>
            <w:r/>
            <w:r>
              <w:rPr>
                <w:rFonts w:ascii="Times New Roman" w:hAnsi="Times New Roman"/>
                <w:b w:val="0"/>
                <w:sz w:val="16"/>
              </w:rPr>
              <w:t>0.000</w:t>
            </w:r>
          </w:p>
        </w:tc>
        <w:tc>
          <w:tcPr>
            <w:tcW w:type="dxa" w:w="1560"/>
          </w:tcPr>
          <w:p>
            <w:pPr>
              <w:jc w:val="center"/>
            </w:pPr>
            <w:r/>
            <w:r>
              <w:rPr>
                <w:rFonts w:ascii="Times New Roman" w:hAnsi="Times New Roman"/>
                <w:b w:val="0"/>
                <w:sz w:val="16"/>
              </w:rPr>
              <w:t>100.000</w:t>
            </w:r>
          </w:p>
        </w:tc>
      </w:tr>
      <w:tr>
        <w:tc>
          <w:tcPr>
            <w:tcW w:type="dxa" w:w="1560"/>
          </w:tcPr>
          <w:p>
            <w:pPr>
              <w:jc w:val="left"/>
            </w:pPr>
            <w:r/>
            <w:r>
              <w:rPr>
                <w:rFonts w:ascii="Times New Roman" w:hAnsi="Times New Roman"/>
                <w:b w:val="0"/>
                <w:sz w:val="16"/>
              </w:rPr>
              <w:t>Firm size (ln)</w:t>
            </w:r>
          </w:p>
        </w:tc>
        <w:tc>
          <w:tcPr>
            <w:tcW w:type="dxa" w:w="1560"/>
          </w:tcPr>
          <w:p>
            <w:pPr>
              <w:jc w:val="center"/>
            </w:pPr>
            <w:r/>
            <w:r>
              <w:rPr>
                <w:rFonts w:ascii="Times New Roman" w:hAnsi="Times New Roman"/>
                <w:b w:val="0"/>
                <w:sz w:val="16"/>
              </w:rPr>
              <w:t>623</w:t>
            </w:r>
          </w:p>
        </w:tc>
        <w:tc>
          <w:tcPr>
            <w:tcW w:type="dxa" w:w="1560"/>
          </w:tcPr>
          <w:p>
            <w:pPr>
              <w:jc w:val="center"/>
            </w:pPr>
            <w:r/>
            <w:r>
              <w:rPr>
                <w:rFonts w:ascii="Times New Roman" w:hAnsi="Times New Roman"/>
                <w:b w:val="0"/>
                <w:sz w:val="16"/>
              </w:rPr>
              <w:t>3.164</w:t>
            </w:r>
          </w:p>
        </w:tc>
        <w:tc>
          <w:tcPr>
            <w:tcW w:type="dxa" w:w="1560"/>
          </w:tcPr>
          <w:p>
            <w:pPr>
              <w:jc w:val="center"/>
            </w:pPr>
            <w:r/>
            <w:r>
              <w:rPr>
                <w:rFonts w:ascii="Times New Roman" w:hAnsi="Times New Roman"/>
                <w:b w:val="0"/>
                <w:sz w:val="16"/>
              </w:rPr>
              <w:t>1.118</w:t>
            </w:r>
          </w:p>
        </w:tc>
        <w:tc>
          <w:tcPr>
            <w:tcW w:type="dxa" w:w="1560"/>
          </w:tcPr>
          <w:p>
            <w:pPr>
              <w:jc w:val="center"/>
            </w:pPr>
            <w:r/>
            <w:r>
              <w:rPr>
                <w:rFonts w:ascii="Times New Roman" w:hAnsi="Times New Roman"/>
                <w:b w:val="0"/>
                <w:sz w:val="16"/>
              </w:rPr>
              <w:t>1.386</w:t>
            </w:r>
          </w:p>
        </w:tc>
        <w:tc>
          <w:tcPr>
            <w:tcW w:type="dxa" w:w="1560"/>
          </w:tcPr>
          <w:p>
            <w:pPr>
              <w:jc w:val="center"/>
            </w:pPr>
            <w:r/>
            <w:r>
              <w:rPr>
                <w:rFonts w:ascii="Times New Roman" w:hAnsi="Times New Roman"/>
                <w:b w:val="0"/>
                <w:sz w:val="16"/>
              </w:rPr>
              <w:t>6.310</w:t>
            </w:r>
          </w:p>
        </w:tc>
      </w:tr>
      <w:tr>
        <w:tc>
          <w:tcPr>
            <w:tcW w:type="dxa" w:w="1560"/>
          </w:tcPr>
          <w:p>
            <w:pPr>
              <w:jc w:val="left"/>
            </w:pPr>
            <w:r/>
            <w:r>
              <w:rPr>
                <w:rFonts w:ascii="Times New Roman" w:hAnsi="Times New Roman"/>
                <w:b w:val="0"/>
                <w:sz w:val="16"/>
              </w:rPr>
              <w:t>Firm age</w:t>
            </w:r>
          </w:p>
        </w:tc>
        <w:tc>
          <w:tcPr>
            <w:tcW w:type="dxa" w:w="1560"/>
          </w:tcPr>
          <w:p>
            <w:pPr>
              <w:jc w:val="center"/>
            </w:pPr>
            <w:r/>
            <w:r>
              <w:rPr>
                <w:rFonts w:ascii="Times New Roman" w:hAnsi="Times New Roman"/>
                <w:b w:val="0"/>
                <w:sz w:val="16"/>
              </w:rPr>
              <w:t>623</w:t>
            </w:r>
          </w:p>
        </w:tc>
        <w:tc>
          <w:tcPr>
            <w:tcW w:type="dxa" w:w="1560"/>
          </w:tcPr>
          <w:p>
            <w:pPr>
              <w:jc w:val="center"/>
            </w:pPr>
            <w:r/>
            <w:r>
              <w:rPr>
                <w:rFonts w:ascii="Times New Roman" w:hAnsi="Times New Roman"/>
                <w:b w:val="0"/>
                <w:sz w:val="16"/>
              </w:rPr>
              <w:t>17.698</w:t>
            </w:r>
          </w:p>
        </w:tc>
        <w:tc>
          <w:tcPr>
            <w:tcW w:type="dxa" w:w="1560"/>
          </w:tcPr>
          <w:p>
            <w:pPr>
              <w:jc w:val="center"/>
            </w:pPr>
            <w:r/>
            <w:r>
              <w:rPr>
                <w:rFonts w:ascii="Times New Roman" w:hAnsi="Times New Roman"/>
                <w:b w:val="0"/>
                <w:sz w:val="16"/>
              </w:rPr>
              <w:t>12.262</w:t>
            </w:r>
          </w:p>
        </w:tc>
        <w:tc>
          <w:tcPr>
            <w:tcW w:type="dxa" w:w="1560"/>
          </w:tcPr>
          <w:p>
            <w:pPr>
              <w:jc w:val="center"/>
            </w:pPr>
            <w:r/>
            <w:r>
              <w:rPr>
                <w:rFonts w:ascii="Times New Roman" w:hAnsi="Times New Roman"/>
                <w:b w:val="0"/>
                <w:sz w:val="16"/>
              </w:rPr>
              <w:t>1.000</w:t>
            </w:r>
          </w:p>
        </w:tc>
        <w:tc>
          <w:tcPr>
            <w:tcW w:type="dxa" w:w="1560"/>
          </w:tcPr>
          <w:p>
            <w:pPr>
              <w:jc w:val="center"/>
            </w:pPr>
            <w:r/>
            <w:r>
              <w:rPr>
                <w:rFonts w:ascii="Times New Roman" w:hAnsi="Times New Roman"/>
                <w:b w:val="0"/>
                <w:sz w:val="16"/>
              </w:rPr>
              <w:t>57.000</w:t>
            </w:r>
          </w:p>
        </w:tc>
      </w:tr>
      <w:tr>
        <w:tc>
          <w:tcPr>
            <w:tcW w:type="dxa" w:w="1560"/>
          </w:tcPr>
          <w:p>
            <w:pPr>
              <w:jc w:val="left"/>
            </w:pPr>
            <w:r/>
            <w:r>
              <w:rPr>
                <w:rFonts w:ascii="Times New Roman" w:hAnsi="Times New Roman"/>
                <w:b w:val="0"/>
                <w:sz w:val="16"/>
              </w:rPr>
              <w:t>Foreign</w:t>
            </w:r>
          </w:p>
        </w:tc>
        <w:tc>
          <w:tcPr>
            <w:tcW w:type="dxa" w:w="1560"/>
          </w:tcPr>
          <w:p>
            <w:pPr>
              <w:jc w:val="center"/>
            </w:pPr>
            <w:r/>
            <w:r>
              <w:rPr>
                <w:rFonts w:ascii="Times New Roman" w:hAnsi="Times New Roman"/>
                <w:b w:val="0"/>
                <w:sz w:val="16"/>
              </w:rPr>
              <w:t>623</w:t>
            </w:r>
          </w:p>
        </w:tc>
        <w:tc>
          <w:tcPr>
            <w:tcW w:type="dxa" w:w="1560"/>
          </w:tcPr>
          <w:p>
            <w:pPr>
              <w:jc w:val="center"/>
            </w:pPr>
            <w:r/>
            <w:r>
              <w:rPr>
                <w:rFonts w:ascii="Times New Roman" w:hAnsi="Times New Roman"/>
                <w:b w:val="0"/>
                <w:sz w:val="16"/>
              </w:rPr>
              <w:t>0.315</w:t>
            </w:r>
          </w:p>
        </w:tc>
        <w:tc>
          <w:tcPr>
            <w:tcW w:type="dxa" w:w="1560"/>
          </w:tcPr>
          <w:p>
            <w:pPr>
              <w:jc w:val="center"/>
            </w:pPr>
            <w:r/>
            <w:r>
              <w:rPr>
                <w:rFonts w:ascii="Times New Roman" w:hAnsi="Times New Roman"/>
                <w:b w:val="0"/>
                <w:sz w:val="16"/>
              </w:rPr>
              <w:t>0.465</w:t>
            </w:r>
          </w:p>
        </w:tc>
        <w:tc>
          <w:tcPr>
            <w:tcW w:type="dxa" w:w="1560"/>
          </w:tcPr>
          <w:p>
            <w:pPr>
              <w:jc w:val="center"/>
            </w:pPr>
            <w:r/>
            <w:r>
              <w:rPr>
                <w:rFonts w:ascii="Times New Roman" w:hAnsi="Times New Roman"/>
                <w:b w:val="0"/>
                <w:sz w:val="16"/>
              </w:rPr>
              <w:t>0.000</w:t>
            </w:r>
          </w:p>
        </w:tc>
        <w:tc>
          <w:tcPr>
            <w:tcW w:type="dxa" w:w="1560"/>
          </w:tcPr>
          <w:p>
            <w:pPr>
              <w:jc w:val="center"/>
            </w:pPr>
            <w:r/>
            <w:r>
              <w:rPr>
                <w:rFonts w:ascii="Times New Roman" w:hAnsi="Times New Roman"/>
                <w:b w:val="0"/>
                <w:sz w:val="16"/>
              </w:rPr>
              <w:t>1.000</w:t>
            </w:r>
          </w:p>
        </w:tc>
      </w:tr>
    </w:tbl>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jc w:val="center"/>
            </w:pPr>
            <w:r/>
            <w:r>
              <w:rPr>
                <w:rFonts w:ascii="Times New Roman" w:hAnsi="Times New Roman"/>
                <w:b/>
                <w:sz w:val="14"/>
              </w:rPr>
            </w:r>
          </w:p>
        </w:tc>
        <w:tc>
          <w:tcPr>
            <w:tcW w:type="dxa" w:w="1170"/>
          </w:tcPr>
          <w:p>
            <w:pPr>
              <w:jc w:val="center"/>
            </w:pPr>
            <w:r/>
            <w:r>
              <w:rPr>
                <w:rFonts w:ascii="Times New Roman" w:hAnsi="Times New Roman"/>
                <w:b/>
                <w:sz w:val="14"/>
              </w:rPr>
              <w:t>(1)</w:t>
            </w:r>
          </w:p>
        </w:tc>
        <w:tc>
          <w:tcPr>
            <w:tcW w:type="dxa" w:w="1170"/>
          </w:tcPr>
          <w:p>
            <w:pPr>
              <w:jc w:val="center"/>
            </w:pPr>
            <w:r/>
            <w:r>
              <w:rPr>
                <w:rFonts w:ascii="Times New Roman" w:hAnsi="Times New Roman"/>
                <w:b/>
                <w:sz w:val="14"/>
              </w:rPr>
              <w:t>(2)</w:t>
            </w:r>
          </w:p>
        </w:tc>
        <w:tc>
          <w:tcPr>
            <w:tcW w:type="dxa" w:w="1170"/>
          </w:tcPr>
          <w:p>
            <w:pPr>
              <w:jc w:val="center"/>
            </w:pPr>
            <w:r/>
            <w:r>
              <w:rPr>
                <w:rFonts w:ascii="Times New Roman" w:hAnsi="Times New Roman"/>
                <w:b/>
                <w:sz w:val="14"/>
              </w:rPr>
              <w:t>(3)</w:t>
            </w:r>
          </w:p>
        </w:tc>
        <w:tc>
          <w:tcPr>
            <w:tcW w:type="dxa" w:w="1170"/>
          </w:tcPr>
          <w:p>
            <w:pPr>
              <w:jc w:val="center"/>
            </w:pPr>
            <w:r/>
            <w:r>
              <w:rPr>
                <w:rFonts w:ascii="Times New Roman" w:hAnsi="Times New Roman"/>
                <w:b/>
                <w:sz w:val="14"/>
              </w:rPr>
              <w:t>(4)</w:t>
            </w:r>
          </w:p>
        </w:tc>
        <w:tc>
          <w:tcPr>
            <w:tcW w:type="dxa" w:w="1170"/>
          </w:tcPr>
          <w:p>
            <w:pPr>
              <w:jc w:val="center"/>
            </w:pPr>
            <w:r/>
            <w:r>
              <w:rPr>
                <w:rFonts w:ascii="Times New Roman" w:hAnsi="Times New Roman"/>
                <w:b/>
                <w:sz w:val="14"/>
              </w:rPr>
              <w:t>(5)</w:t>
            </w:r>
          </w:p>
        </w:tc>
        <w:tc>
          <w:tcPr>
            <w:tcW w:type="dxa" w:w="1170"/>
          </w:tcPr>
          <w:p>
            <w:pPr>
              <w:jc w:val="center"/>
            </w:pPr>
            <w:r/>
            <w:r>
              <w:rPr>
                <w:rFonts w:ascii="Times New Roman" w:hAnsi="Times New Roman"/>
                <w:b/>
                <w:sz w:val="14"/>
              </w:rPr>
              <w:t>(6)</w:t>
            </w:r>
          </w:p>
        </w:tc>
        <w:tc>
          <w:tcPr>
            <w:tcW w:type="dxa" w:w="1170"/>
          </w:tcPr>
          <w:p>
            <w:pPr>
              <w:jc w:val="center"/>
            </w:pPr>
            <w:r/>
            <w:r>
              <w:rPr>
                <w:rFonts w:ascii="Times New Roman" w:hAnsi="Times New Roman"/>
                <w:b/>
                <w:sz w:val="14"/>
              </w:rPr>
              <w:t>(7)</w:t>
            </w:r>
          </w:p>
        </w:tc>
      </w:tr>
      <w:tr>
        <w:tc>
          <w:tcPr>
            <w:tcW w:type="dxa" w:w="1170"/>
          </w:tcPr>
          <w:p>
            <w:pPr>
              <w:jc w:val="left"/>
            </w:pPr>
            <w:r/>
            <w:r>
              <w:rPr>
                <w:rFonts w:ascii="Times New Roman" w:hAnsi="Times New Roman"/>
                <w:b w:val="0"/>
                <w:sz w:val="14"/>
              </w:rPr>
              <w:t>(1) Ln(LP)</w:t>
            </w:r>
          </w:p>
        </w:tc>
        <w:tc>
          <w:tcPr>
            <w:tcW w:type="dxa" w:w="1170"/>
          </w:tcPr>
          <w:p>
            <w:pPr>
              <w:jc w:val="center"/>
            </w:pPr>
            <w:r/>
            <w:r>
              <w:rPr>
                <w:rFonts w:ascii="Times New Roman" w:hAnsi="Times New Roman"/>
                <w:b w:val="0"/>
                <w:sz w:val="14"/>
              </w:rPr>
              <w:t>1.00</w:t>
            </w:r>
          </w:p>
        </w:tc>
        <w:tc>
          <w:tcPr>
            <w:tcW w:type="dxa" w:w="1170"/>
          </w:tcPr>
          <w:p>
            <w:pPr>
              <w:jc w:val="center"/>
            </w:pPr>
            <w:r/>
            <w:r>
              <w:rPr>
                <w:rFonts w:ascii="Times New Roman" w:hAnsi="Times New Roman"/>
                <w:b w:val="0"/>
                <w:sz w:val="14"/>
              </w:rPr>
            </w:r>
          </w:p>
        </w:tc>
        <w:tc>
          <w:tcPr>
            <w:tcW w:type="dxa" w:w="1170"/>
          </w:tcPr>
          <w:p>
            <w:pPr>
              <w:jc w:val="center"/>
            </w:pPr>
            <w:r/>
            <w:r>
              <w:rPr>
                <w:rFonts w:ascii="Times New Roman" w:hAnsi="Times New Roman"/>
                <w:b w:val="0"/>
                <w:sz w:val="14"/>
              </w:rPr>
            </w:r>
          </w:p>
        </w:tc>
        <w:tc>
          <w:tcPr>
            <w:tcW w:type="dxa" w:w="1170"/>
          </w:tcPr>
          <w:p>
            <w:pPr>
              <w:jc w:val="center"/>
            </w:pPr>
            <w:r/>
            <w:r>
              <w:rPr>
                <w:rFonts w:ascii="Times New Roman" w:hAnsi="Times New Roman"/>
                <w:b w:val="0"/>
                <w:sz w:val="14"/>
              </w:rPr>
            </w:r>
          </w:p>
        </w:tc>
        <w:tc>
          <w:tcPr>
            <w:tcW w:type="dxa" w:w="1170"/>
          </w:tcPr>
          <w:p>
            <w:pPr>
              <w:jc w:val="center"/>
            </w:pPr>
            <w:r/>
            <w:r>
              <w:rPr>
                <w:rFonts w:ascii="Times New Roman" w:hAnsi="Times New Roman"/>
                <w:b w:val="0"/>
                <w:sz w:val="14"/>
              </w:rPr>
            </w:r>
          </w:p>
        </w:tc>
        <w:tc>
          <w:tcPr>
            <w:tcW w:type="dxa" w:w="1170"/>
          </w:tcPr>
          <w:p>
            <w:pPr>
              <w:jc w:val="center"/>
            </w:pPr>
            <w:r/>
            <w:r>
              <w:rPr>
                <w:rFonts w:ascii="Times New Roman" w:hAnsi="Times New Roman"/>
                <w:b w:val="0"/>
                <w:sz w:val="14"/>
              </w:rPr>
            </w:r>
          </w:p>
        </w:tc>
        <w:tc>
          <w:tcPr>
            <w:tcW w:type="dxa" w:w="1170"/>
          </w:tcPr>
          <w:p>
            <w:pPr>
              <w:jc w:val="center"/>
            </w:pPr>
            <w:r/>
            <w:r>
              <w:rPr>
                <w:rFonts w:ascii="Times New Roman" w:hAnsi="Times New Roman"/>
                <w:b w:val="0"/>
                <w:sz w:val="14"/>
              </w:rPr>
            </w:r>
          </w:p>
        </w:tc>
      </w:tr>
      <w:tr>
        <w:tc>
          <w:tcPr>
            <w:tcW w:type="dxa" w:w="1170"/>
          </w:tcPr>
          <w:p>
            <w:pPr>
              <w:jc w:val="left"/>
            </w:pPr>
            <w:r/>
            <w:r>
              <w:rPr>
                <w:rFonts w:ascii="Times New Roman" w:hAnsi="Times New Roman"/>
                <w:b w:val="0"/>
                <w:sz w:val="14"/>
              </w:rPr>
              <w:t>(2) FSTS</w:t>
            </w:r>
          </w:p>
        </w:tc>
        <w:tc>
          <w:tcPr>
            <w:tcW w:type="dxa" w:w="1170"/>
          </w:tcPr>
          <w:p>
            <w:pPr>
              <w:jc w:val="center"/>
            </w:pPr>
            <w:r/>
            <w:r>
              <w:rPr>
                <w:rFonts w:ascii="Times New Roman" w:hAnsi="Times New Roman"/>
                <w:b w:val="0"/>
                <w:sz w:val="14"/>
              </w:rPr>
              <w:t>0.31**</w:t>
            </w:r>
          </w:p>
        </w:tc>
        <w:tc>
          <w:tcPr>
            <w:tcW w:type="dxa" w:w="1170"/>
          </w:tcPr>
          <w:p>
            <w:pPr>
              <w:jc w:val="center"/>
            </w:pPr>
            <w:r/>
            <w:r>
              <w:rPr>
                <w:rFonts w:ascii="Times New Roman" w:hAnsi="Times New Roman"/>
                <w:b w:val="0"/>
                <w:sz w:val="14"/>
              </w:rPr>
              <w:t>1.00</w:t>
            </w:r>
          </w:p>
        </w:tc>
        <w:tc>
          <w:tcPr>
            <w:tcW w:type="dxa" w:w="1170"/>
          </w:tcPr>
          <w:p>
            <w:pPr>
              <w:jc w:val="center"/>
            </w:pPr>
            <w:r/>
            <w:r>
              <w:rPr>
                <w:rFonts w:ascii="Times New Roman" w:hAnsi="Times New Roman"/>
                <w:b w:val="0"/>
                <w:sz w:val="14"/>
              </w:rPr>
            </w:r>
          </w:p>
        </w:tc>
        <w:tc>
          <w:tcPr>
            <w:tcW w:type="dxa" w:w="1170"/>
          </w:tcPr>
          <w:p>
            <w:pPr>
              <w:jc w:val="center"/>
            </w:pPr>
            <w:r/>
            <w:r>
              <w:rPr>
                <w:rFonts w:ascii="Times New Roman" w:hAnsi="Times New Roman"/>
                <w:b w:val="0"/>
                <w:sz w:val="14"/>
              </w:rPr>
            </w:r>
          </w:p>
        </w:tc>
        <w:tc>
          <w:tcPr>
            <w:tcW w:type="dxa" w:w="1170"/>
          </w:tcPr>
          <w:p>
            <w:pPr>
              <w:jc w:val="center"/>
            </w:pPr>
            <w:r/>
            <w:r>
              <w:rPr>
                <w:rFonts w:ascii="Times New Roman" w:hAnsi="Times New Roman"/>
                <w:b w:val="0"/>
                <w:sz w:val="14"/>
              </w:rPr>
            </w:r>
          </w:p>
        </w:tc>
        <w:tc>
          <w:tcPr>
            <w:tcW w:type="dxa" w:w="1170"/>
          </w:tcPr>
          <w:p>
            <w:pPr>
              <w:jc w:val="center"/>
            </w:pPr>
            <w:r/>
            <w:r>
              <w:rPr>
                <w:rFonts w:ascii="Times New Roman" w:hAnsi="Times New Roman"/>
                <w:b w:val="0"/>
                <w:sz w:val="14"/>
              </w:rPr>
            </w:r>
          </w:p>
        </w:tc>
        <w:tc>
          <w:tcPr>
            <w:tcW w:type="dxa" w:w="1170"/>
          </w:tcPr>
          <w:p>
            <w:pPr>
              <w:jc w:val="center"/>
            </w:pPr>
            <w:r/>
            <w:r>
              <w:rPr>
                <w:rFonts w:ascii="Times New Roman" w:hAnsi="Times New Roman"/>
                <w:b w:val="0"/>
                <w:sz w:val="14"/>
              </w:rPr>
            </w:r>
          </w:p>
        </w:tc>
      </w:tr>
      <w:tr>
        <w:tc>
          <w:tcPr>
            <w:tcW w:type="dxa" w:w="1170"/>
          </w:tcPr>
          <w:p>
            <w:pPr>
              <w:jc w:val="left"/>
            </w:pPr>
            <w:r/>
            <w:r>
              <w:rPr>
                <w:rFonts w:ascii="Times New Roman" w:hAnsi="Times New Roman"/>
                <w:b w:val="0"/>
                <w:sz w:val="14"/>
              </w:rPr>
              <w:t>(3) TCI</w:t>
            </w:r>
          </w:p>
        </w:tc>
        <w:tc>
          <w:tcPr>
            <w:tcW w:type="dxa" w:w="1170"/>
          </w:tcPr>
          <w:p>
            <w:pPr>
              <w:jc w:val="center"/>
            </w:pPr>
            <w:r/>
            <w:r>
              <w:rPr>
                <w:rFonts w:ascii="Times New Roman" w:hAnsi="Times New Roman"/>
                <w:b w:val="0"/>
                <w:sz w:val="14"/>
              </w:rPr>
              <w:t>0.18**</w:t>
            </w:r>
          </w:p>
        </w:tc>
        <w:tc>
          <w:tcPr>
            <w:tcW w:type="dxa" w:w="1170"/>
          </w:tcPr>
          <w:p>
            <w:pPr>
              <w:jc w:val="center"/>
            </w:pPr>
            <w:r/>
            <w:r>
              <w:rPr>
                <w:rFonts w:ascii="Times New Roman" w:hAnsi="Times New Roman"/>
                <w:b w:val="0"/>
                <w:sz w:val="14"/>
              </w:rPr>
              <w:t>0.15**</w:t>
            </w:r>
          </w:p>
        </w:tc>
        <w:tc>
          <w:tcPr>
            <w:tcW w:type="dxa" w:w="1170"/>
          </w:tcPr>
          <w:p>
            <w:pPr>
              <w:jc w:val="center"/>
            </w:pPr>
            <w:r/>
            <w:r>
              <w:rPr>
                <w:rFonts w:ascii="Times New Roman" w:hAnsi="Times New Roman"/>
                <w:b w:val="0"/>
                <w:sz w:val="14"/>
              </w:rPr>
              <w:t>1.00</w:t>
            </w:r>
          </w:p>
        </w:tc>
        <w:tc>
          <w:tcPr>
            <w:tcW w:type="dxa" w:w="1170"/>
          </w:tcPr>
          <w:p>
            <w:pPr>
              <w:jc w:val="center"/>
            </w:pPr>
            <w:r/>
            <w:r>
              <w:rPr>
                <w:rFonts w:ascii="Times New Roman" w:hAnsi="Times New Roman"/>
                <w:b w:val="0"/>
                <w:sz w:val="14"/>
              </w:rPr>
            </w:r>
          </w:p>
        </w:tc>
        <w:tc>
          <w:tcPr>
            <w:tcW w:type="dxa" w:w="1170"/>
          </w:tcPr>
          <w:p>
            <w:pPr>
              <w:jc w:val="center"/>
            </w:pPr>
            <w:r/>
            <w:r>
              <w:rPr>
                <w:rFonts w:ascii="Times New Roman" w:hAnsi="Times New Roman"/>
                <w:b w:val="0"/>
                <w:sz w:val="14"/>
              </w:rPr>
            </w:r>
          </w:p>
        </w:tc>
        <w:tc>
          <w:tcPr>
            <w:tcW w:type="dxa" w:w="1170"/>
          </w:tcPr>
          <w:p>
            <w:pPr>
              <w:jc w:val="center"/>
            </w:pPr>
            <w:r/>
            <w:r>
              <w:rPr>
                <w:rFonts w:ascii="Times New Roman" w:hAnsi="Times New Roman"/>
                <w:b w:val="0"/>
                <w:sz w:val="14"/>
              </w:rPr>
            </w:r>
          </w:p>
        </w:tc>
        <w:tc>
          <w:tcPr>
            <w:tcW w:type="dxa" w:w="1170"/>
          </w:tcPr>
          <w:p>
            <w:pPr>
              <w:jc w:val="center"/>
            </w:pPr>
            <w:r/>
            <w:r>
              <w:rPr>
                <w:rFonts w:ascii="Times New Roman" w:hAnsi="Times New Roman"/>
                <w:b w:val="0"/>
                <w:sz w:val="14"/>
              </w:rPr>
            </w:r>
          </w:p>
        </w:tc>
      </w:tr>
      <w:tr>
        <w:tc>
          <w:tcPr>
            <w:tcW w:type="dxa" w:w="1170"/>
          </w:tcPr>
          <w:p>
            <w:pPr>
              <w:jc w:val="left"/>
            </w:pPr>
            <w:r/>
            <w:r>
              <w:rPr>
                <w:rFonts w:ascii="Times New Roman" w:hAnsi="Times New Roman"/>
                <w:b w:val="0"/>
                <w:sz w:val="14"/>
              </w:rPr>
              <w:t>(4) DAI</w:t>
            </w:r>
          </w:p>
        </w:tc>
        <w:tc>
          <w:tcPr>
            <w:tcW w:type="dxa" w:w="1170"/>
          </w:tcPr>
          <w:p>
            <w:pPr>
              <w:jc w:val="center"/>
            </w:pPr>
            <w:r/>
            <w:r>
              <w:rPr>
                <w:rFonts w:ascii="Times New Roman" w:hAnsi="Times New Roman"/>
                <w:b w:val="0"/>
                <w:sz w:val="14"/>
              </w:rPr>
              <w:t>0.15**</w:t>
            </w:r>
          </w:p>
        </w:tc>
        <w:tc>
          <w:tcPr>
            <w:tcW w:type="dxa" w:w="1170"/>
          </w:tcPr>
          <w:p>
            <w:pPr>
              <w:jc w:val="center"/>
            </w:pPr>
            <w:r/>
            <w:r>
              <w:rPr>
                <w:rFonts w:ascii="Times New Roman" w:hAnsi="Times New Roman"/>
                <w:b w:val="0"/>
                <w:sz w:val="14"/>
              </w:rPr>
              <w:t>0.18**</w:t>
            </w:r>
          </w:p>
        </w:tc>
        <w:tc>
          <w:tcPr>
            <w:tcW w:type="dxa" w:w="1170"/>
          </w:tcPr>
          <w:p>
            <w:pPr>
              <w:jc w:val="center"/>
            </w:pPr>
            <w:r/>
            <w:r>
              <w:rPr>
                <w:rFonts w:ascii="Times New Roman" w:hAnsi="Times New Roman"/>
                <w:b w:val="0"/>
                <w:sz w:val="14"/>
              </w:rPr>
              <w:t>0.28**</w:t>
            </w:r>
          </w:p>
        </w:tc>
        <w:tc>
          <w:tcPr>
            <w:tcW w:type="dxa" w:w="1170"/>
          </w:tcPr>
          <w:p>
            <w:pPr>
              <w:jc w:val="center"/>
            </w:pPr>
            <w:r/>
            <w:r>
              <w:rPr>
                <w:rFonts w:ascii="Times New Roman" w:hAnsi="Times New Roman"/>
                <w:b w:val="0"/>
                <w:sz w:val="14"/>
              </w:rPr>
              <w:t>1.00</w:t>
            </w:r>
          </w:p>
        </w:tc>
        <w:tc>
          <w:tcPr>
            <w:tcW w:type="dxa" w:w="1170"/>
          </w:tcPr>
          <w:p>
            <w:pPr>
              <w:jc w:val="center"/>
            </w:pPr>
            <w:r/>
            <w:r>
              <w:rPr>
                <w:rFonts w:ascii="Times New Roman" w:hAnsi="Times New Roman"/>
                <w:b w:val="0"/>
                <w:sz w:val="14"/>
              </w:rPr>
            </w:r>
          </w:p>
        </w:tc>
        <w:tc>
          <w:tcPr>
            <w:tcW w:type="dxa" w:w="1170"/>
          </w:tcPr>
          <w:p>
            <w:pPr>
              <w:jc w:val="center"/>
            </w:pPr>
            <w:r/>
            <w:r>
              <w:rPr>
                <w:rFonts w:ascii="Times New Roman" w:hAnsi="Times New Roman"/>
                <w:b w:val="0"/>
                <w:sz w:val="14"/>
              </w:rPr>
            </w:r>
          </w:p>
        </w:tc>
        <w:tc>
          <w:tcPr>
            <w:tcW w:type="dxa" w:w="1170"/>
          </w:tcPr>
          <w:p>
            <w:pPr>
              <w:jc w:val="center"/>
            </w:pPr>
            <w:r/>
            <w:r>
              <w:rPr>
                <w:rFonts w:ascii="Times New Roman" w:hAnsi="Times New Roman"/>
                <w:b w:val="0"/>
                <w:sz w:val="14"/>
              </w:rPr>
            </w:r>
          </w:p>
        </w:tc>
      </w:tr>
      <w:tr>
        <w:tc>
          <w:tcPr>
            <w:tcW w:type="dxa" w:w="1170"/>
          </w:tcPr>
          <w:p>
            <w:pPr>
              <w:jc w:val="left"/>
            </w:pPr>
            <w:r/>
            <w:r>
              <w:rPr>
                <w:rFonts w:ascii="Times New Roman" w:hAnsi="Times New Roman"/>
                <w:b w:val="0"/>
                <w:sz w:val="14"/>
              </w:rPr>
              <w:t>(5) Size</w:t>
            </w:r>
          </w:p>
        </w:tc>
        <w:tc>
          <w:tcPr>
            <w:tcW w:type="dxa" w:w="1170"/>
          </w:tcPr>
          <w:p>
            <w:pPr>
              <w:jc w:val="center"/>
            </w:pPr>
            <w:r/>
            <w:r>
              <w:rPr>
                <w:rFonts w:ascii="Times New Roman" w:hAnsi="Times New Roman"/>
                <w:b w:val="0"/>
                <w:sz w:val="14"/>
              </w:rPr>
              <w:t>-0.12**</w:t>
            </w:r>
          </w:p>
        </w:tc>
        <w:tc>
          <w:tcPr>
            <w:tcW w:type="dxa" w:w="1170"/>
          </w:tcPr>
          <w:p>
            <w:pPr>
              <w:jc w:val="center"/>
            </w:pPr>
            <w:r/>
            <w:r>
              <w:rPr>
                <w:rFonts w:ascii="Times New Roman" w:hAnsi="Times New Roman"/>
                <w:b w:val="0"/>
                <w:sz w:val="14"/>
              </w:rPr>
              <w:t>-0.01</w:t>
            </w:r>
          </w:p>
        </w:tc>
        <w:tc>
          <w:tcPr>
            <w:tcW w:type="dxa" w:w="1170"/>
          </w:tcPr>
          <w:p>
            <w:pPr>
              <w:jc w:val="center"/>
            </w:pPr>
            <w:r/>
            <w:r>
              <w:rPr>
                <w:rFonts w:ascii="Times New Roman" w:hAnsi="Times New Roman"/>
                <w:b w:val="0"/>
                <w:sz w:val="14"/>
              </w:rPr>
              <w:t>0.30**</w:t>
            </w:r>
          </w:p>
        </w:tc>
        <w:tc>
          <w:tcPr>
            <w:tcW w:type="dxa" w:w="1170"/>
          </w:tcPr>
          <w:p>
            <w:pPr>
              <w:jc w:val="center"/>
            </w:pPr>
            <w:r/>
            <w:r>
              <w:rPr>
                <w:rFonts w:ascii="Times New Roman" w:hAnsi="Times New Roman"/>
                <w:b w:val="0"/>
                <w:sz w:val="14"/>
              </w:rPr>
              <w:t>0.08*</w:t>
            </w:r>
          </w:p>
        </w:tc>
        <w:tc>
          <w:tcPr>
            <w:tcW w:type="dxa" w:w="1170"/>
          </w:tcPr>
          <w:p>
            <w:pPr>
              <w:jc w:val="center"/>
            </w:pPr>
            <w:r/>
            <w:r>
              <w:rPr>
                <w:rFonts w:ascii="Times New Roman" w:hAnsi="Times New Roman"/>
                <w:b w:val="0"/>
                <w:sz w:val="14"/>
              </w:rPr>
              <w:t>1.00</w:t>
            </w:r>
          </w:p>
        </w:tc>
        <w:tc>
          <w:tcPr>
            <w:tcW w:type="dxa" w:w="1170"/>
          </w:tcPr>
          <w:p>
            <w:pPr>
              <w:jc w:val="center"/>
            </w:pPr>
            <w:r/>
            <w:r>
              <w:rPr>
                <w:rFonts w:ascii="Times New Roman" w:hAnsi="Times New Roman"/>
                <w:b w:val="0"/>
                <w:sz w:val="14"/>
              </w:rPr>
            </w:r>
          </w:p>
        </w:tc>
        <w:tc>
          <w:tcPr>
            <w:tcW w:type="dxa" w:w="1170"/>
          </w:tcPr>
          <w:p>
            <w:pPr>
              <w:jc w:val="center"/>
            </w:pPr>
            <w:r/>
            <w:r>
              <w:rPr>
                <w:rFonts w:ascii="Times New Roman" w:hAnsi="Times New Roman"/>
                <w:b w:val="0"/>
                <w:sz w:val="14"/>
              </w:rPr>
            </w:r>
          </w:p>
        </w:tc>
      </w:tr>
      <w:tr>
        <w:tc>
          <w:tcPr>
            <w:tcW w:type="dxa" w:w="1170"/>
          </w:tcPr>
          <w:p>
            <w:pPr>
              <w:jc w:val="left"/>
            </w:pPr>
            <w:r/>
            <w:r>
              <w:rPr>
                <w:rFonts w:ascii="Times New Roman" w:hAnsi="Times New Roman"/>
                <w:b w:val="0"/>
                <w:sz w:val="14"/>
              </w:rPr>
              <w:t>(6) Age</w:t>
            </w:r>
          </w:p>
        </w:tc>
        <w:tc>
          <w:tcPr>
            <w:tcW w:type="dxa" w:w="1170"/>
          </w:tcPr>
          <w:p>
            <w:pPr>
              <w:jc w:val="center"/>
            </w:pPr>
            <w:r/>
            <w:r>
              <w:rPr>
                <w:rFonts w:ascii="Times New Roman" w:hAnsi="Times New Roman"/>
                <w:b w:val="0"/>
                <w:sz w:val="14"/>
              </w:rPr>
              <w:t>0.16**</w:t>
            </w:r>
          </w:p>
        </w:tc>
        <w:tc>
          <w:tcPr>
            <w:tcW w:type="dxa" w:w="1170"/>
          </w:tcPr>
          <w:p>
            <w:pPr>
              <w:jc w:val="center"/>
            </w:pPr>
            <w:r/>
            <w:r>
              <w:rPr>
                <w:rFonts w:ascii="Times New Roman" w:hAnsi="Times New Roman"/>
                <w:b w:val="0"/>
                <w:sz w:val="14"/>
              </w:rPr>
              <w:t>0.07</w:t>
            </w:r>
          </w:p>
        </w:tc>
        <w:tc>
          <w:tcPr>
            <w:tcW w:type="dxa" w:w="1170"/>
          </w:tcPr>
          <w:p>
            <w:pPr>
              <w:jc w:val="center"/>
            </w:pPr>
            <w:r/>
            <w:r>
              <w:rPr>
                <w:rFonts w:ascii="Times New Roman" w:hAnsi="Times New Roman"/>
                <w:b w:val="0"/>
                <w:sz w:val="14"/>
              </w:rPr>
              <w:t>-0.02</w:t>
            </w:r>
          </w:p>
        </w:tc>
        <w:tc>
          <w:tcPr>
            <w:tcW w:type="dxa" w:w="1170"/>
          </w:tcPr>
          <w:p>
            <w:pPr>
              <w:jc w:val="center"/>
            </w:pPr>
            <w:r/>
            <w:r>
              <w:rPr>
                <w:rFonts w:ascii="Times New Roman" w:hAnsi="Times New Roman"/>
                <w:b w:val="0"/>
                <w:sz w:val="14"/>
              </w:rPr>
              <w:t>-0.02</w:t>
            </w:r>
          </w:p>
        </w:tc>
        <w:tc>
          <w:tcPr>
            <w:tcW w:type="dxa" w:w="1170"/>
          </w:tcPr>
          <w:p>
            <w:pPr>
              <w:jc w:val="center"/>
            </w:pPr>
            <w:r/>
            <w:r>
              <w:rPr>
                <w:rFonts w:ascii="Times New Roman" w:hAnsi="Times New Roman"/>
                <w:b w:val="0"/>
                <w:sz w:val="14"/>
              </w:rPr>
              <w:t>0.09*</w:t>
            </w:r>
          </w:p>
        </w:tc>
        <w:tc>
          <w:tcPr>
            <w:tcW w:type="dxa" w:w="1170"/>
          </w:tcPr>
          <w:p>
            <w:pPr>
              <w:jc w:val="center"/>
            </w:pPr>
            <w:r/>
            <w:r>
              <w:rPr>
                <w:rFonts w:ascii="Times New Roman" w:hAnsi="Times New Roman"/>
                <w:b w:val="0"/>
                <w:sz w:val="14"/>
              </w:rPr>
              <w:t>1.00</w:t>
            </w:r>
          </w:p>
        </w:tc>
        <w:tc>
          <w:tcPr>
            <w:tcW w:type="dxa" w:w="1170"/>
          </w:tcPr>
          <w:p>
            <w:pPr>
              <w:jc w:val="center"/>
            </w:pPr>
            <w:r/>
            <w:r>
              <w:rPr>
                <w:rFonts w:ascii="Times New Roman" w:hAnsi="Times New Roman"/>
                <w:b w:val="0"/>
                <w:sz w:val="14"/>
              </w:rPr>
            </w:r>
          </w:p>
        </w:tc>
      </w:tr>
      <w:tr>
        <w:tc>
          <w:tcPr>
            <w:tcW w:type="dxa" w:w="1170"/>
          </w:tcPr>
          <w:p>
            <w:pPr>
              <w:jc w:val="left"/>
            </w:pPr>
            <w:r/>
            <w:r>
              <w:rPr>
                <w:rFonts w:ascii="Times New Roman" w:hAnsi="Times New Roman"/>
                <w:b w:val="0"/>
                <w:sz w:val="14"/>
              </w:rPr>
              <w:t>(7) Foreign</w:t>
            </w:r>
          </w:p>
        </w:tc>
        <w:tc>
          <w:tcPr>
            <w:tcW w:type="dxa" w:w="1170"/>
          </w:tcPr>
          <w:p>
            <w:pPr>
              <w:jc w:val="center"/>
            </w:pPr>
            <w:r/>
            <w:r>
              <w:rPr>
                <w:rFonts w:ascii="Times New Roman" w:hAnsi="Times New Roman"/>
                <w:b w:val="0"/>
                <w:sz w:val="14"/>
              </w:rPr>
              <w:t>0.15**</w:t>
            </w:r>
          </w:p>
        </w:tc>
        <w:tc>
          <w:tcPr>
            <w:tcW w:type="dxa" w:w="1170"/>
          </w:tcPr>
          <w:p>
            <w:pPr>
              <w:jc w:val="center"/>
            </w:pPr>
            <w:r/>
            <w:r>
              <w:rPr>
                <w:rFonts w:ascii="Times New Roman" w:hAnsi="Times New Roman"/>
                <w:b w:val="0"/>
                <w:sz w:val="14"/>
              </w:rPr>
              <w:t>0.16**</w:t>
            </w:r>
          </w:p>
        </w:tc>
        <w:tc>
          <w:tcPr>
            <w:tcW w:type="dxa" w:w="1170"/>
          </w:tcPr>
          <w:p>
            <w:pPr>
              <w:jc w:val="center"/>
            </w:pPr>
            <w:r/>
            <w:r>
              <w:rPr>
                <w:rFonts w:ascii="Times New Roman" w:hAnsi="Times New Roman"/>
                <w:b w:val="0"/>
                <w:sz w:val="14"/>
              </w:rPr>
              <w:t>0.11**</w:t>
            </w:r>
          </w:p>
        </w:tc>
        <w:tc>
          <w:tcPr>
            <w:tcW w:type="dxa" w:w="1170"/>
          </w:tcPr>
          <w:p>
            <w:pPr>
              <w:jc w:val="center"/>
            </w:pPr>
            <w:r/>
            <w:r>
              <w:rPr>
                <w:rFonts w:ascii="Times New Roman" w:hAnsi="Times New Roman"/>
                <w:b w:val="0"/>
                <w:sz w:val="14"/>
              </w:rPr>
              <w:t>0.04</w:t>
            </w:r>
          </w:p>
        </w:tc>
        <w:tc>
          <w:tcPr>
            <w:tcW w:type="dxa" w:w="1170"/>
          </w:tcPr>
          <w:p>
            <w:pPr>
              <w:jc w:val="center"/>
            </w:pPr>
            <w:r/>
            <w:r>
              <w:rPr>
                <w:rFonts w:ascii="Times New Roman" w:hAnsi="Times New Roman"/>
                <w:b w:val="0"/>
                <w:sz w:val="14"/>
              </w:rPr>
              <w:t>0.15**</w:t>
            </w:r>
          </w:p>
        </w:tc>
        <w:tc>
          <w:tcPr>
            <w:tcW w:type="dxa" w:w="1170"/>
          </w:tcPr>
          <w:p>
            <w:pPr>
              <w:jc w:val="center"/>
            </w:pPr>
            <w:r/>
            <w:r>
              <w:rPr>
                <w:rFonts w:ascii="Times New Roman" w:hAnsi="Times New Roman"/>
                <w:b w:val="0"/>
                <w:sz w:val="14"/>
              </w:rPr>
              <w:t>-0.12**</w:t>
            </w:r>
          </w:p>
        </w:tc>
        <w:tc>
          <w:tcPr>
            <w:tcW w:type="dxa" w:w="1170"/>
          </w:tcPr>
          <w:p>
            <w:pPr>
              <w:jc w:val="center"/>
            </w:pPr>
            <w:r/>
            <w:r>
              <w:rPr>
                <w:rFonts w:ascii="Times New Roman" w:hAnsi="Times New Roman"/>
                <w:b w:val="0"/>
                <w:sz w:val="14"/>
              </w:rPr>
              <w:t>1.00</w:t>
            </w:r>
          </w:p>
        </w:tc>
      </w:tr>
    </w:tbl>
    <w:p>
      <w:r>
        <w:rPr>
          <w:sz w:val="14"/>
        </w:rPr>
        <w:t>** p &lt; .01, * p &lt; .05. N = 617–623.</w:t>
      </w:r>
    </w:p>
    <w:p>
      <w:r>
        <w:drawing>
          <wp:inline xmlns:a="http://schemas.openxmlformats.org/drawingml/2006/main" xmlns:pic="http://schemas.openxmlformats.org/drawingml/2006/picture">
            <wp:extent cx="4572000" cy="3222487"/>
            <wp:docPr id="1" name="Picture 1"/>
            <wp:cNvGraphicFramePr>
              <a:graphicFrameLocks noChangeAspect="1"/>
            </wp:cNvGraphicFramePr>
            <a:graphic>
              <a:graphicData uri="http://schemas.openxmlformats.org/drawingml/2006/picture">
                <pic:pic>
                  <pic:nvPicPr>
                    <pic:cNvPr id="0" name="Figure1_DAI_Marginal_Effects.png"/>
                    <pic:cNvPicPr/>
                  </pic:nvPicPr>
                  <pic:blipFill>
                    <a:blip r:embed="rId8"/>
                    <a:stretch>
                      <a:fillRect/>
                    </a:stretch>
                  </pic:blipFill>
                  <pic:spPr>
                    <a:xfrm>
                      <a:off x="0" y="0"/>
                      <a:ext cx="4572000" cy="3222487"/>
                    </a:xfrm>
                    <a:prstGeom prst="rect"/>
                  </pic:spPr>
                </pic:pic>
              </a:graphicData>
            </a:graphic>
          </wp:inline>
        </w:drawing>
      </w:r>
    </w:p>
    <w:p>
      <w:r>
        <w:rPr>
          <w:b/>
        </w:rPr>
        <w:t xml:space="preserve">Figure 1. </w:t>
      </w:r>
      <w:r>
        <w:rPr>
          <w:sz w:val="16"/>
        </w:rPr>
        <w:t>Marginal effect of DAI across FSTS with 95% CI. Zero-crossings at 7% and 35%.</w:t>
      </w:r>
    </w:p>
    <w:p>
      <w:r>
        <w:rPr>
          <w:b/>
        </w:rPr>
        <w:t xml:space="preserve">Table 2. </w:t>
      </w:r>
      <w:r>
        <w:rPr>
          <w:sz w:val="18"/>
        </w:rPr>
        <w:t>OLS regression. DV: Ln(LP). HC1 SE in parentheses.</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jc w:val="left"/>
            </w:pPr>
            <w:r/>
            <w:r>
              <w:rPr>
                <w:rFonts w:ascii="Times New Roman" w:hAnsi="Times New Roman"/>
                <w:b/>
                <w:sz w:val="14"/>
              </w:rPr>
            </w:r>
          </w:p>
        </w:tc>
        <w:tc>
          <w:tcPr>
            <w:tcW w:type="dxa" w:w="1170"/>
          </w:tcPr>
          <w:p>
            <w:pPr>
              <w:jc w:val="center"/>
            </w:pPr>
            <w:r/>
            <w:r>
              <w:rPr>
                <w:rFonts w:ascii="Times New Roman" w:hAnsi="Times New Roman"/>
                <w:b/>
                <w:sz w:val="14"/>
              </w:rPr>
              <w:t>(1)</w:t>
            </w:r>
          </w:p>
        </w:tc>
        <w:tc>
          <w:tcPr>
            <w:tcW w:type="dxa" w:w="1170"/>
          </w:tcPr>
          <w:p>
            <w:pPr>
              <w:jc w:val="center"/>
            </w:pPr>
            <w:r/>
            <w:r>
              <w:rPr>
                <w:rFonts w:ascii="Times New Roman" w:hAnsi="Times New Roman"/>
                <w:b/>
                <w:sz w:val="14"/>
              </w:rPr>
              <w:t>(2)</w:t>
            </w:r>
          </w:p>
        </w:tc>
        <w:tc>
          <w:tcPr>
            <w:tcW w:type="dxa" w:w="1170"/>
          </w:tcPr>
          <w:p>
            <w:pPr>
              <w:jc w:val="center"/>
            </w:pPr>
            <w:r/>
            <w:r>
              <w:rPr>
                <w:rFonts w:ascii="Times New Roman" w:hAnsi="Times New Roman"/>
                <w:b/>
                <w:sz w:val="14"/>
              </w:rPr>
              <w:t>(3)</w:t>
            </w:r>
          </w:p>
        </w:tc>
        <w:tc>
          <w:tcPr>
            <w:tcW w:type="dxa" w:w="1170"/>
          </w:tcPr>
          <w:p>
            <w:pPr>
              <w:jc w:val="center"/>
            </w:pPr>
            <w:r/>
            <w:r>
              <w:rPr>
                <w:rFonts w:ascii="Times New Roman" w:hAnsi="Times New Roman"/>
                <w:b/>
                <w:sz w:val="14"/>
              </w:rPr>
              <w:t>(4)</w:t>
            </w:r>
          </w:p>
        </w:tc>
        <w:tc>
          <w:tcPr>
            <w:tcW w:type="dxa" w:w="1170"/>
          </w:tcPr>
          <w:p>
            <w:pPr>
              <w:jc w:val="center"/>
            </w:pPr>
            <w:r/>
            <w:r>
              <w:rPr>
                <w:rFonts w:ascii="Times New Roman" w:hAnsi="Times New Roman"/>
                <w:b/>
                <w:sz w:val="14"/>
              </w:rPr>
              <w:t>(5)</w:t>
            </w:r>
          </w:p>
        </w:tc>
        <w:tc>
          <w:tcPr>
            <w:tcW w:type="dxa" w:w="1170"/>
          </w:tcPr>
          <w:p>
            <w:pPr>
              <w:jc w:val="center"/>
            </w:pPr>
            <w:r/>
            <w:r>
              <w:rPr>
                <w:rFonts w:ascii="Times New Roman" w:hAnsi="Times New Roman"/>
                <w:b/>
                <w:sz w:val="14"/>
              </w:rPr>
              <w:t>(6)</w:t>
            </w:r>
          </w:p>
        </w:tc>
        <w:tc>
          <w:tcPr>
            <w:tcW w:type="dxa" w:w="1170"/>
          </w:tcPr>
          <w:p>
            <w:pPr>
              <w:jc w:val="center"/>
            </w:pPr>
            <w:r/>
            <w:r>
              <w:rPr>
                <w:rFonts w:ascii="Times New Roman" w:hAnsi="Times New Roman"/>
                <w:b/>
                <w:sz w:val="14"/>
              </w:rPr>
              <w:t>(7)</w:t>
            </w:r>
          </w:p>
        </w:tc>
      </w:tr>
      <w:tr>
        <w:tc>
          <w:tcPr>
            <w:tcW w:type="dxa" w:w="1170"/>
          </w:tcPr>
          <w:p>
            <w:pPr>
              <w:jc w:val="left"/>
            </w:pPr>
            <w:r/>
            <w:r>
              <w:rPr>
                <w:rFonts w:ascii="Times New Roman" w:hAnsi="Times New Roman"/>
                <w:b w:val="0"/>
                <w:sz w:val="14"/>
              </w:rPr>
              <w:t>FSTS</w:t>
            </w:r>
          </w:p>
        </w:tc>
        <w:tc>
          <w:tcPr>
            <w:tcW w:type="dxa" w:w="1170"/>
          </w:tcPr>
          <w:p>
            <w:pPr>
              <w:jc w:val="center"/>
            </w:pPr>
            <w:r/>
            <w:r>
              <w:rPr>
                <w:rFonts w:ascii="Times New Roman" w:hAnsi="Times New Roman"/>
                <w:b w:val="0"/>
                <w:sz w:val="14"/>
              </w:rPr>
            </w:r>
          </w:p>
        </w:tc>
        <w:tc>
          <w:tcPr>
            <w:tcW w:type="dxa" w:w="1170"/>
          </w:tcPr>
          <w:p>
            <w:pPr>
              <w:jc w:val="center"/>
            </w:pPr>
            <w:r/>
            <w:r>
              <w:rPr>
                <w:rFonts w:ascii="Times New Roman" w:hAnsi="Times New Roman"/>
                <w:b w:val="0"/>
                <w:sz w:val="14"/>
              </w:rPr>
              <w:t>3.490***</w:t>
            </w:r>
          </w:p>
        </w:tc>
        <w:tc>
          <w:tcPr>
            <w:tcW w:type="dxa" w:w="1170"/>
          </w:tcPr>
          <w:p>
            <w:pPr>
              <w:jc w:val="center"/>
            </w:pPr>
            <w:r/>
            <w:r>
              <w:rPr>
                <w:rFonts w:ascii="Times New Roman" w:hAnsi="Times New Roman"/>
                <w:b w:val="0"/>
                <w:sz w:val="14"/>
              </w:rPr>
              <w:t>2.797**</w:t>
            </w:r>
          </w:p>
        </w:tc>
        <w:tc>
          <w:tcPr>
            <w:tcW w:type="dxa" w:w="1170"/>
          </w:tcPr>
          <w:p>
            <w:pPr>
              <w:jc w:val="center"/>
            </w:pPr>
            <w:r/>
            <w:r>
              <w:rPr>
                <w:rFonts w:ascii="Times New Roman" w:hAnsi="Times New Roman"/>
                <w:b w:val="0"/>
                <w:sz w:val="14"/>
              </w:rPr>
              <w:t>3.106***</w:t>
            </w:r>
          </w:p>
        </w:tc>
        <w:tc>
          <w:tcPr>
            <w:tcW w:type="dxa" w:w="1170"/>
          </w:tcPr>
          <w:p>
            <w:pPr>
              <w:jc w:val="center"/>
            </w:pPr>
            <w:r/>
            <w:r>
              <w:rPr>
                <w:rFonts w:ascii="Times New Roman" w:hAnsi="Times New Roman"/>
                <w:b w:val="0"/>
                <w:sz w:val="14"/>
              </w:rPr>
              <w:t>2.599**</w:t>
            </w:r>
          </w:p>
        </w:tc>
        <w:tc>
          <w:tcPr>
            <w:tcW w:type="dxa" w:w="1170"/>
          </w:tcPr>
          <w:p>
            <w:pPr>
              <w:jc w:val="center"/>
            </w:pPr>
            <w:r/>
            <w:r>
              <w:rPr>
                <w:rFonts w:ascii="Times New Roman" w:hAnsi="Times New Roman"/>
                <w:b w:val="0"/>
                <w:sz w:val="14"/>
              </w:rPr>
              <w:t>3.531***</w:t>
            </w:r>
          </w:p>
        </w:tc>
        <w:tc>
          <w:tcPr>
            <w:tcW w:type="dxa" w:w="1170"/>
          </w:tcPr>
          <w:p>
            <w:pPr>
              <w:jc w:val="center"/>
            </w:pPr>
            <w:r/>
            <w:r>
              <w:rPr>
                <w:rFonts w:ascii="Times New Roman" w:hAnsi="Times New Roman"/>
                <w:b w:val="0"/>
                <w:sz w:val="14"/>
              </w:rPr>
              <w:t>3.058**</w:t>
            </w:r>
          </w:p>
        </w:tc>
      </w:tr>
      <w:tr>
        <w:tc>
          <w:tcPr>
            <w:tcW w:type="dxa" w:w="1170"/>
          </w:tcPr>
          <w:p>
            <w:pPr>
              <w:jc w:val="center"/>
            </w:pPr>
            <w:r/>
            <w:r>
              <w:rPr>
                <w:rFonts w:ascii="Times New Roman" w:hAnsi="Times New Roman"/>
                <w:b w:val="0"/>
                <w:sz w:val="14"/>
              </w:rPr>
            </w:r>
          </w:p>
        </w:tc>
        <w:tc>
          <w:tcPr>
            <w:tcW w:type="dxa" w:w="1170"/>
          </w:tcPr>
          <w:p>
            <w:pPr>
              <w:jc w:val="center"/>
            </w:pPr>
            <w:r/>
            <w:r>
              <w:rPr>
                <w:rFonts w:ascii="Times New Roman" w:hAnsi="Times New Roman"/>
                <w:b w:val="0"/>
                <w:sz w:val="12"/>
              </w:rPr>
            </w:r>
          </w:p>
        </w:tc>
        <w:tc>
          <w:tcPr>
            <w:tcW w:type="dxa" w:w="1170"/>
          </w:tcPr>
          <w:p>
            <w:pPr>
              <w:jc w:val="center"/>
            </w:pPr>
            <w:r/>
            <w:r>
              <w:rPr>
                <w:rFonts w:ascii="Times New Roman" w:hAnsi="Times New Roman"/>
                <w:b w:val="0"/>
                <w:sz w:val="12"/>
              </w:rPr>
              <w:t>(0.903)</w:t>
            </w:r>
          </w:p>
        </w:tc>
        <w:tc>
          <w:tcPr>
            <w:tcW w:type="dxa" w:w="1170"/>
          </w:tcPr>
          <w:p>
            <w:pPr>
              <w:jc w:val="center"/>
            </w:pPr>
            <w:r/>
            <w:r>
              <w:rPr>
                <w:rFonts w:ascii="Times New Roman" w:hAnsi="Times New Roman"/>
                <w:b w:val="0"/>
                <w:sz w:val="12"/>
              </w:rPr>
              <w:t>(0.925)</w:t>
            </w:r>
          </w:p>
        </w:tc>
        <w:tc>
          <w:tcPr>
            <w:tcW w:type="dxa" w:w="1170"/>
          </w:tcPr>
          <w:p>
            <w:pPr>
              <w:jc w:val="center"/>
            </w:pPr>
            <w:r/>
            <w:r>
              <w:rPr>
                <w:rFonts w:ascii="Times New Roman" w:hAnsi="Times New Roman"/>
                <w:b w:val="0"/>
                <w:sz w:val="12"/>
              </w:rPr>
              <w:t>(0.920)</w:t>
            </w:r>
          </w:p>
        </w:tc>
        <w:tc>
          <w:tcPr>
            <w:tcW w:type="dxa" w:w="1170"/>
          </w:tcPr>
          <w:p>
            <w:pPr>
              <w:jc w:val="center"/>
            </w:pPr>
            <w:r/>
            <w:r>
              <w:rPr>
                <w:rFonts w:ascii="Times New Roman" w:hAnsi="Times New Roman"/>
                <w:b w:val="0"/>
                <w:sz w:val="12"/>
              </w:rPr>
              <w:t>(0.936)</w:t>
            </w:r>
          </w:p>
        </w:tc>
        <w:tc>
          <w:tcPr>
            <w:tcW w:type="dxa" w:w="1170"/>
          </w:tcPr>
          <w:p>
            <w:pPr>
              <w:jc w:val="center"/>
            </w:pPr>
            <w:r/>
            <w:r>
              <w:rPr>
                <w:rFonts w:ascii="Times New Roman" w:hAnsi="Times New Roman"/>
                <w:b w:val="0"/>
                <w:sz w:val="12"/>
              </w:rPr>
              <w:t>(0.947)</w:t>
            </w:r>
          </w:p>
        </w:tc>
        <w:tc>
          <w:tcPr>
            <w:tcW w:type="dxa" w:w="1170"/>
          </w:tcPr>
          <w:p>
            <w:pPr>
              <w:jc w:val="center"/>
            </w:pPr>
            <w:r/>
            <w:r>
              <w:rPr>
                <w:rFonts w:ascii="Times New Roman" w:hAnsi="Times New Roman"/>
                <w:b w:val="0"/>
                <w:sz w:val="12"/>
              </w:rPr>
              <w:t>(0.943)</w:t>
            </w:r>
          </w:p>
        </w:tc>
      </w:tr>
      <w:tr>
        <w:tc>
          <w:tcPr>
            <w:tcW w:type="dxa" w:w="1170"/>
          </w:tcPr>
          <w:p>
            <w:pPr>
              <w:jc w:val="left"/>
            </w:pPr>
            <w:r/>
            <w:r>
              <w:rPr>
                <w:rFonts w:ascii="Times New Roman" w:hAnsi="Times New Roman"/>
                <w:b w:val="0"/>
                <w:sz w:val="14"/>
              </w:rPr>
              <w:t>FSTS²</w:t>
            </w:r>
          </w:p>
        </w:tc>
        <w:tc>
          <w:tcPr>
            <w:tcW w:type="dxa" w:w="1170"/>
          </w:tcPr>
          <w:p>
            <w:pPr>
              <w:jc w:val="center"/>
            </w:pPr>
            <w:r/>
            <w:r>
              <w:rPr>
                <w:rFonts w:ascii="Times New Roman" w:hAnsi="Times New Roman"/>
                <w:b w:val="0"/>
                <w:sz w:val="14"/>
              </w:rPr>
            </w:r>
          </w:p>
        </w:tc>
        <w:tc>
          <w:tcPr>
            <w:tcW w:type="dxa" w:w="1170"/>
          </w:tcPr>
          <w:p>
            <w:pPr>
              <w:jc w:val="center"/>
            </w:pPr>
            <w:r/>
            <w:r>
              <w:rPr>
                <w:rFonts w:ascii="Times New Roman" w:hAnsi="Times New Roman"/>
                <w:b w:val="0"/>
                <w:sz w:val="14"/>
              </w:rPr>
              <w:t>-2.103†</w:t>
            </w:r>
          </w:p>
        </w:tc>
        <w:tc>
          <w:tcPr>
            <w:tcW w:type="dxa" w:w="1170"/>
          </w:tcPr>
          <w:p>
            <w:pPr>
              <w:jc w:val="center"/>
            </w:pPr>
            <w:r/>
            <w:r>
              <w:rPr>
                <w:rFonts w:ascii="Times New Roman" w:hAnsi="Times New Roman"/>
                <w:b w:val="0"/>
                <w:sz w:val="14"/>
              </w:rPr>
              <w:t>-1.431</w:t>
            </w:r>
          </w:p>
        </w:tc>
        <w:tc>
          <w:tcPr>
            <w:tcW w:type="dxa" w:w="1170"/>
          </w:tcPr>
          <w:p>
            <w:pPr>
              <w:jc w:val="center"/>
            </w:pPr>
            <w:r/>
            <w:r>
              <w:rPr>
                <w:rFonts w:ascii="Times New Roman" w:hAnsi="Times New Roman"/>
                <w:b w:val="0"/>
                <w:sz w:val="14"/>
              </w:rPr>
              <w:t>-1.779</w:t>
            </w:r>
          </w:p>
        </w:tc>
        <w:tc>
          <w:tcPr>
            <w:tcW w:type="dxa" w:w="1170"/>
          </w:tcPr>
          <w:p>
            <w:pPr>
              <w:jc w:val="center"/>
            </w:pPr>
            <w:r/>
            <w:r>
              <w:rPr>
                <w:rFonts w:ascii="Times New Roman" w:hAnsi="Times New Roman"/>
                <w:b w:val="0"/>
                <w:sz w:val="14"/>
              </w:rPr>
              <w:t>-1.265</w:t>
            </w:r>
          </w:p>
        </w:tc>
        <w:tc>
          <w:tcPr>
            <w:tcW w:type="dxa" w:w="1170"/>
          </w:tcPr>
          <w:p>
            <w:pPr>
              <w:jc w:val="center"/>
            </w:pPr>
            <w:r/>
            <w:r>
              <w:rPr>
                <w:rFonts w:ascii="Times New Roman" w:hAnsi="Times New Roman"/>
                <w:b w:val="0"/>
                <w:sz w:val="14"/>
              </w:rPr>
              <w:t>-3.166**</w:t>
            </w:r>
          </w:p>
        </w:tc>
        <w:tc>
          <w:tcPr>
            <w:tcW w:type="dxa" w:w="1170"/>
          </w:tcPr>
          <w:p>
            <w:pPr>
              <w:jc w:val="center"/>
            </w:pPr>
            <w:r/>
            <w:r>
              <w:rPr>
                <w:rFonts w:ascii="Times New Roman" w:hAnsi="Times New Roman"/>
                <w:b w:val="0"/>
                <w:sz w:val="14"/>
              </w:rPr>
              <w:t>-2.715*</w:t>
            </w:r>
          </w:p>
        </w:tc>
      </w:tr>
      <w:tr>
        <w:tc>
          <w:tcPr>
            <w:tcW w:type="dxa" w:w="1170"/>
          </w:tcPr>
          <w:p>
            <w:pPr>
              <w:jc w:val="center"/>
            </w:pPr>
            <w:r/>
            <w:r>
              <w:rPr>
                <w:rFonts w:ascii="Times New Roman" w:hAnsi="Times New Roman"/>
                <w:b w:val="0"/>
                <w:sz w:val="14"/>
              </w:rPr>
            </w:r>
          </w:p>
        </w:tc>
        <w:tc>
          <w:tcPr>
            <w:tcW w:type="dxa" w:w="1170"/>
          </w:tcPr>
          <w:p>
            <w:pPr>
              <w:jc w:val="center"/>
            </w:pPr>
            <w:r/>
            <w:r>
              <w:rPr>
                <w:rFonts w:ascii="Times New Roman" w:hAnsi="Times New Roman"/>
                <w:b w:val="0"/>
                <w:sz w:val="12"/>
              </w:rPr>
            </w:r>
          </w:p>
        </w:tc>
        <w:tc>
          <w:tcPr>
            <w:tcW w:type="dxa" w:w="1170"/>
          </w:tcPr>
          <w:p>
            <w:pPr>
              <w:jc w:val="center"/>
            </w:pPr>
            <w:r/>
            <w:r>
              <w:rPr>
                <w:rFonts w:ascii="Times New Roman" w:hAnsi="Times New Roman"/>
                <w:b w:val="0"/>
                <w:sz w:val="12"/>
              </w:rPr>
              <w:t>(1.087)</w:t>
            </w:r>
          </w:p>
        </w:tc>
        <w:tc>
          <w:tcPr>
            <w:tcW w:type="dxa" w:w="1170"/>
          </w:tcPr>
          <w:p>
            <w:pPr>
              <w:jc w:val="center"/>
            </w:pPr>
            <w:r/>
            <w:r>
              <w:rPr>
                <w:rFonts w:ascii="Times New Roman" w:hAnsi="Times New Roman"/>
                <w:b w:val="0"/>
                <w:sz w:val="12"/>
              </w:rPr>
              <w:t>(1.115)</w:t>
            </w:r>
          </w:p>
        </w:tc>
        <w:tc>
          <w:tcPr>
            <w:tcW w:type="dxa" w:w="1170"/>
          </w:tcPr>
          <w:p>
            <w:pPr>
              <w:jc w:val="center"/>
            </w:pPr>
            <w:r/>
            <w:r>
              <w:rPr>
                <w:rFonts w:ascii="Times New Roman" w:hAnsi="Times New Roman"/>
                <w:b w:val="0"/>
                <w:sz w:val="12"/>
              </w:rPr>
              <w:t>(1.092)</w:t>
            </w:r>
          </w:p>
        </w:tc>
        <w:tc>
          <w:tcPr>
            <w:tcW w:type="dxa" w:w="1170"/>
          </w:tcPr>
          <w:p>
            <w:pPr>
              <w:jc w:val="center"/>
            </w:pPr>
            <w:r/>
            <w:r>
              <w:rPr>
                <w:rFonts w:ascii="Times New Roman" w:hAnsi="Times New Roman"/>
                <w:b w:val="0"/>
                <w:sz w:val="12"/>
              </w:rPr>
              <w:t>(1.120)</w:t>
            </w:r>
          </w:p>
        </w:tc>
        <w:tc>
          <w:tcPr>
            <w:tcW w:type="dxa" w:w="1170"/>
          </w:tcPr>
          <w:p>
            <w:pPr>
              <w:jc w:val="center"/>
            </w:pPr>
            <w:r/>
            <w:r>
              <w:rPr>
                <w:rFonts w:ascii="Times New Roman" w:hAnsi="Times New Roman"/>
                <w:b w:val="0"/>
                <w:sz w:val="12"/>
              </w:rPr>
              <w:t>(1.100)</w:t>
            </w:r>
          </w:p>
        </w:tc>
        <w:tc>
          <w:tcPr>
            <w:tcW w:type="dxa" w:w="1170"/>
          </w:tcPr>
          <w:p>
            <w:pPr>
              <w:jc w:val="center"/>
            </w:pPr>
            <w:r/>
            <w:r>
              <w:rPr>
                <w:rFonts w:ascii="Times New Roman" w:hAnsi="Times New Roman"/>
                <w:b w:val="0"/>
                <w:sz w:val="12"/>
              </w:rPr>
              <w:t>(1.101)</w:t>
            </w:r>
          </w:p>
        </w:tc>
      </w:tr>
      <w:tr>
        <w:tc>
          <w:tcPr>
            <w:tcW w:type="dxa" w:w="1170"/>
          </w:tcPr>
          <w:p>
            <w:pPr>
              <w:jc w:val="left"/>
            </w:pPr>
            <w:r/>
            <w:r>
              <w:rPr>
                <w:rFonts w:ascii="Times New Roman" w:hAnsi="Times New Roman"/>
                <w:b w:val="0"/>
                <w:sz w:val="14"/>
              </w:rPr>
              <w:t>TCI</w:t>
            </w:r>
          </w:p>
        </w:tc>
        <w:tc>
          <w:tcPr>
            <w:tcW w:type="dxa" w:w="1170"/>
          </w:tcPr>
          <w:p>
            <w:pPr>
              <w:jc w:val="center"/>
            </w:pPr>
            <w:r/>
            <w:r>
              <w:rPr>
                <w:rFonts w:ascii="Times New Roman" w:hAnsi="Times New Roman"/>
                <w:b w:val="0"/>
                <w:sz w:val="14"/>
              </w:rPr>
            </w:r>
          </w:p>
        </w:tc>
        <w:tc>
          <w:tcPr>
            <w:tcW w:type="dxa" w:w="1170"/>
          </w:tcPr>
          <w:p>
            <w:pPr>
              <w:jc w:val="center"/>
            </w:pPr>
            <w:r/>
            <w:r>
              <w:rPr>
                <w:rFonts w:ascii="Times New Roman" w:hAnsi="Times New Roman"/>
                <w:b w:val="0"/>
                <w:sz w:val="14"/>
              </w:rPr>
            </w:r>
          </w:p>
        </w:tc>
        <w:tc>
          <w:tcPr>
            <w:tcW w:type="dxa" w:w="1170"/>
          </w:tcPr>
          <w:p>
            <w:pPr>
              <w:jc w:val="center"/>
            </w:pPr>
            <w:r/>
            <w:r>
              <w:rPr>
                <w:rFonts w:ascii="Times New Roman" w:hAnsi="Times New Roman"/>
                <w:b w:val="0"/>
                <w:sz w:val="14"/>
              </w:rPr>
              <w:t>0.200***</w:t>
            </w:r>
          </w:p>
        </w:tc>
        <w:tc>
          <w:tcPr>
            <w:tcW w:type="dxa" w:w="1170"/>
          </w:tcPr>
          <w:p>
            <w:pPr>
              <w:jc w:val="center"/>
            </w:pPr>
            <w:r/>
            <w:r>
              <w:rPr>
                <w:rFonts w:ascii="Times New Roman" w:hAnsi="Times New Roman"/>
                <w:b w:val="0"/>
                <w:sz w:val="14"/>
              </w:rPr>
            </w:r>
          </w:p>
        </w:tc>
        <w:tc>
          <w:tcPr>
            <w:tcW w:type="dxa" w:w="1170"/>
          </w:tcPr>
          <w:p>
            <w:pPr>
              <w:jc w:val="center"/>
            </w:pPr>
            <w:r/>
            <w:r>
              <w:rPr>
                <w:rFonts w:ascii="Times New Roman" w:hAnsi="Times New Roman"/>
                <w:b w:val="0"/>
                <w:sz w:val="14"/>
              </w:rPr>
              <w:t>0.183***</w:t>
            </w:r>
          </w:p>
        </w:tc>
        <w:tc>
          <w:tcPr>
            <w:tcW w:type="dxa" w:w="1170"/>
          </w:tcPr>
          <w:p>
            <w:pPr>
              <w:jc w:val="center"/>
            </w:pPr>
            <w:r/>
            <w:r>
              <w:rPr>
                <w:rFonts w:ascii="Times New Roman" w:hAnsi="Times New Roman"/>
                <w:b w:val="0"/>
                <w:sz w:val="14"/>
              </w:rPr>
            </w:r>
          </w:p>
        </w:tc>
        <w:tc>
          <w:tcPr>
            <w:tcW w:type="dxa" w:w="1170"/>
          </w:tcPr>
          <w:p>
            <w:pPr>
              <w:jc w:val="center"/>
            </w:pPr>
            <w:r/>
            <w:r>
              <w:rPr>
                <w:rFonts w:ascii="Times New Roman" w:hAnsi="Times New Roman"/>
                <w:b w:val="0"/>
                <w:sz w:val="14"/>
              </w:rPr>
              <w:t>0.186***</w:t>
            </w:r>
          </w:p>
        </w:tc>
      </w:tr>
      <w:tr>
        <w:tc>
          <w:tcPr>
            <w:tcW w:type="dxa" w:w="1170"/>
          </w:tcPr>
          <w:p>
            <w:pPr>
              <w:jc w:val="center"/>
            </w:pPr>
            <w:r/>
            <w:r>
              <w:rPr>
                <w:rFonts w:ascii="Times New Roman" w:hAnsi="Times New Roman"/>
                <w:b w:val="0"/>
                <w:sz w:val="14"/>
              </w:rPr>
            </w:r>
          </w:p>
        </w:tc>
        <w:tc>
          <w:tcPr>
            <w:tcW w:type="dxa" w:w="1170"/>
          </w:tcPr>
          <w:p>
            <w:pPr>
              <w:jc w:val="center"/>
            </w:pPr>
            <w:r/>
            <w:r>
              <w:rPr>
                <w:rFonts w:ascii="Times New Roman" w:hAnsi="Times New Roman"/>
                <w:b w:val="0"/>
                <w:sz w:val="12"/>
              </w:rPr>
            </w:r>
          </w:p>
        </w:tc>
        <w:tc>
          <w:tcPr>
            <w:tcW w:type="dxa" w:w="1170"/>
          </w:tcPr>
          <w:p>
            <w:pPr>
              <w:jc w:val="center"/>
            </w:pPr>
            <w:r/>
            <w:r>
              <w:rPr>
                <w:rFonts w:ascii="Times New Roman" w:hAnsi="Times New Roman"/>
                <w:b w:val="0"/>
                <w:sz w:val="12"/>
              </w:rPr>
            </w:r>
          </w:p>
        </w:tc>
        <w:tc>
          <w:tcPr>
            <w:tcW w:type="dxa" w:w="1170"/>
          </w:tcPr>
          <w:p>
            <w:pPr>
              <w:jc w:val="center"/>
            </w:pPr>
            <w:r/>
            <w:r>
              <w:rPr>
                <w:rFonts w:ascii="Times New Roman" w:hAnsi="Times New Roman"/>
                <w:b w:val="0"/>
                <w:sz w:val="12"/>
              </w:rPr>
              <w:t>(0.042)</w:t>
            </w:r>
          </w:p>
        </w:tc>
        <w:tc>
          <w:tcPr>
            <w:tcW w:type="dxa" w:w="1170"/>
          </w:tcPr>
          <w:p>
            <w:pPr>
              <w:jc w:val="center"/>
            </w:pPr>
            <w:r/>
            <w:r>
              <w:rPr>
                <w:rFonts w:ascii="Times New Roman" w:hAnsi="Times New Roman"/>
                <w:b w:val="0"/>
                <w:sz w:val="12"/>
              </w:rPr>
            </w:r>
          </w:p>
        </w:tc>
        <w:tc>
          <w:tcPr>
            <w:tcW w:type="dxa" w:w="1170"/>
          </w:tcPr>
          <w:p>
            <w:pPr>
              <w:jc w:val="center"/>
            </w:pPr>
            <w:r/>
            <w:r>
              <w:rPr>
                <w:rFonts w:ascii="Times New Roman" w:hAnsi="Times New Roman"/>
                <w:b w:val="0"/>
                <w:sz w:val="12"/>
              </w:rPr>
              <w:t>(0.044)</w:t>
            </w:r>
          </w:p>
        </w:tc>
        <w:tc>
          <w:tcPr>
            <w:tcW w:type="dxa" w:w="1170"/>
          </w:tcPr>
          <w:p>
            <w:pPr>
              <w:jc w:val="center"/>
            </w:pPr>
            <w:r/>
            <w:r>
              <w:rPr>
                <w:rFonts w:ascii="Times New Roman" w:hAnsi="Times New Roman"/>
                <w:b w:val="0"/>
                <w:sz w:val="12"/>
              </w:rPr>
            </w:r>
          </w:p>
        </w:tc>
        <w:tc>
          <w:tcPr>
            <w:tcW w:type="dxa" w:w="1170"/>
          </w:tcPr>
          <w:p>
            <w:pPr>
              <w:jc w:val="center"/>
            </w:pPr>
            <w:r/>
            <w:r>
              <w:rPr>
                <w:rFonts w:ascii="Times New Roman" w:hAnsi="Times New Roman"/>
                <w:b w:val="0"/>
                <w:sz w:val="12"/>
              </w:rPr>
              <w:t>(0.044)</w:t>
            </w:r>
          </w:p>
        </w:tc>
      </w:tr>
      <w:tr>
        <w:tc>
          <w:tcPr>
            <w:tcW w:type="dxa" w:w="1170"/>
          </w:tcPr>
          <w:p>
            <w:pPr>
              <w:jc w:val="left"/>
            </w:pPr>
            <w:r/>
            <w:r>
              <w:rPr>
                <w:rFonts w:ascii="Times New Roman" w:hAnsi="Times New Roman"/>
                <w:b w:val="0"/>
                <w:sz w:val="14"/>
              </w:rPr>
              <w:t>DAI</w:t>
            </w:r>
          </w:p>
        </w:tc>
        <w:tc>
          <w:tcPr>
            <w:tcW w:type="dxa" w:w="1170"/>
          </w:tcPr>
          <w:p>
            <w:pPr>
              <w:jc w:val="center"/>
            </w:pPr>
            <w:r/>
            <w:r>
              <w:rPr>
                <w:rFonts w:ascii="Times New Roman" w:hAnsi="Times New Roman"/>
                <w:b w:val="0"/>
                <w:sz w:val="14"/>
              </w:rPr>
            </w:r>
          </w:p>
        </w:tc>
        <w:tc>
          <w:tcPr>
            <w:tcW w:type="dxa" w:w="1170"/>
          </w:tcPr>
          <w:p>
            <w:pPr>
              <w:jc w:val="center"/>
            </w:pPr>
            <w:r/>
            <w:r>
              <w:rPr>
                <w:rFonts w:ascii="Times New Roman" w:hAnsi="Times New Roman"/>
                <w:b w:val="0"/>
                <w:sz w:val="14"/>
              </w:rPr>
            </w:r>
          </w:p>
        </w:tc>
        <w:tc>
          <w:tcPr>
            <w:tcW w:type="dxa" w:w="1170"/>
          </w:tcPr>
          <w:p>
            <w:pPr>
              <w:jc w:val="center"/>
            </w:pPr>
            <w:r/>
            <w:r>
              <w:rPr>
                <w:rFonts w:ascii="Times New Roman" w:hAnsi="Times New Roman"/>
                <w:b w:val="0"/>
                <w:sz w:val="14"/>
              </w:rPr>
            </w:r>
          </w:p>
        </w:tc>
        <w:tc>
          <w:tcPr>
            <w:tcW w:type="dxa" w:w="1170"/>
          </w:tcPr>
          <w:p>
            <w:pPr>
              <w:jc w:val="center"/>
            </w:pPr>
            <w:r/>
            <w:r>
              <w:rPr>
                <w:rFonts w:ascii="Times New Roman" w:hAnsi="Times New Roman"/>
                <w:b w:val="0"/>
                <w:sz w:val="14"/>
              </w:rPr>
              <w:t>0.114**</w:t>
            </w:r>
          </w:p>
        </w:tc>
        <w:tc>
          <w:tcPr>
            <w:tcW w:type="dxa" w:w="1170"/>
          </w:tcPr>
          <w:p>
            <w:pPr>
              <w:jc w:val="center"/>
            </w:pPr>
            <w:r/>
            <w:r>
              <w:rPr>
                <w:rFonts w:ascii="Times New Roman" w:hAnsi="Times New Roman"/>
                <w:b w:val="0"/>
                <w:sz w:val="14"/>
              </w:rPr>
              <w:t>0.073†</w:t>
            </w:r>
          </w:p>
        </w:tc>
        <w:tc>
          <w:tcPr>
            <w:tcW w:type="dxa" w:w="1170"/>
          </w:tcPr>
          <w:p>
            <w:pPr>
              <w:jc w:val="center"/>
            </w:pPr>
            <w:r/>
            <w:r>
              <w:rPr>
                <w:rFonts w:ascii="Times New Roman" w:hAnsi="Times New Roman"/>
                <w:b w:val="0"/>
                <w:sz w:val="14"/>
              </w:rPr>
              <w:t>0.114**</w:t>
            </w:r>
          </w:p>
        </w:tc>
        <w:tc>
          <w:tcPr>
            <w:tcW w:type="dxa" w:w="1170"/>
          </w:tcPr>
          <w:p>
            <w:pPr>
              <w:jc w:val="center"/>
            </w:pPr>
            <w:r/>
            <w:r>
              <w:rPr>
                <w:rFonts w:ascii="Times New Roman" w:hAnsi="Times New Roman"/>
                <w:b w:val="0"/>
                <w:sz w:val="14"/>
              </w:rPr>
              <w:t>0.073†</w:t>
            </w:r>
          </w:p>
        </w:tc>
      </w:tr>
      <w:tr>
        <w:tc>
          <w:tcPr>
            <w:tcW w:type="dxa" w:w="1170"/>
          </w:tcPr>
          <w:p>
            <w:pPr>
              <w:jc w:val="center"/>
            </w:pPr>
            <w:r/>
            <w:r>
              <w:rPr>
                <w:rFonts w:ascii="Times New Roman" w:hAnsi="Times New Roman"/>
                <w:b w:val="0"/>
                <w:sz w:val="14"/>
              </w:rPr>
            </w:r>
          </w:p>
        </w:tc>
        <w:tc>
          <w:tcPr>
            <w:tcW w:type="dxa" w:w="1170"/>
          </w:tcPr>
          <w:p>
            <w:pPr>
              <w:jc w:val="center"/>
            </w:pPr>
            <w:r/>
            <w:r>
              <w:rPr>
                <w:rFonts w:ascii="Times New Roman" w:hAnsi="Times New Roman"/>
                <w:b w:val="0"/>
                <w:sz w:val="12"/>
              </w:rPr>
            </w:r>
          </w:p>
        </w:tc>
        <w:tc>
          <w:tcPr>
            <w:tcW w:type="dxa" w:w="1170"/>
          </w:tcPr>
          <w:p>
            <w:pPr>
              <w:jc w:val="center"/>
            </w:pPr>
            <w:r/>
            <w:r>
              <w:rPr>
                <w:rFonts w:ascii="Times New Roman" w:hAnsi="Times New Roman"/>
                <w:b w:val="0"/>
                <w:sz w:val="12"/>
              </w:rPr>
            </w:r>
          </w:p>
        </w:tc>
        <w:tc>
          <w:tcPr>
            <w:tcW w:type="dxa" w:w="1170"/>
          </w:tcPr>
          <w:p>
            <w:pPr>
              <w:jc w:val="center"/>
            </w:pPr>
            <w:r/>
            <w:r>
              <w:rPr>
                <w:rFonts w:ascii="Times New Roman" w:hAnsi="Times New Roman"/>
                <w:b w:val="0"/>
                <w:sz w:val="12"/>
              </w:rPr>
            </w:r>
          </w:p>
        </w:tc>
        <w:tc>
          <w:tcPr>
            <w:tcW w:type="dxa" w:w="1170"/>
          </w:tcPr>
          <w:p>
            <w:pPr>
              <w:jc w:val="center"/>
            </w:pPr>
            <w:r/>
            <w:r>
              <w:rPr>
                <w:rFonts w:ascii="Times New Roman" w:hAnsi="Times New Roman"/>
                <w:b w:val="0"/>
                <w:sz w:val="12"/>
              </w:rPr>
              <w:t>(0.037)</w:t>
            </w:r>
          </w:p>
        </w:tc>
        <w:tc>
          <w:tcPr>
            <w:tcW w:type="dxa" w:w="1170"/>
          </w:tcPr>
          <w:p>
            <w:pPr>
              <w:jc w:val="center"/>
            </w:pPr>
            <w:r/>
            <w:r>
              <w:rPr>
                <w:rFonts w:ascii="Times New Roman" w:hAnsi="Times New Roman"/>
                <w:b w:val="0"/>
                <w:sz w:val="12"/>
              </w:rPr>
              <w:t>(0.038)</w:t>
            </w:r>
          </w:p>
        </w:tc>
        <w:tc>
          <w:tcPr>
            <w:tcW w:type="dxa" w:w="1170"/>
          </w:tcPr>
          <w:p>
            <w:pPr>
              <w:jc w:val="center"/>
            </w:pPr>
            <w:r/>
            <w:r>
              <w:rPr>
                <w:rFonts w:ascii="Times New Roman" w:hAnsi="Times New Roman"/>
                <w:b w:val="0"/>
                <w:sz w:val="12"/>
              </w:rPr>
              <w:t>(0.038)</w:t>
            </w:r>
          </w:p>
        </w:tc>
        <w:tc>
          <w:tcPr>
            <w:tcW w:type="dxa" w:w="1170"/>
          </w:tcPr>
          <w:p>
            <w:pPr>
              <w:jc w:val="center"/>
            </w:pPr>
            <w:r/>
            <w:r>
              <w:rPr>
                <w:rFonts w:ascii="Times New Roman" w:hAnsi="Times New Roman"/>
                <w:b w:val="0"/>
                <w:sz w:val="12"/>
              </w:rPr>
              <w:t>(0.040)</w:t>
            </w:r>
          </w:p>
        </w:tc>
      </w:tr>
      <w:tr>
        <w:tc>
          <w:tcPr>
            <w:tcW w:type="dxa" w:w="1170"/>
          </w:tcPr>
          <w:p>
            <w:pPr>
              <w:jc w:val="left"/>
            </w:pPr>
            <w:r/>
            <w:r>
              <w:rPr>
                <w:rFonts w:ascii="Times New Roman" w:hAnsi="Times New Roman"/>
                <w:b w:val="0"/>
                <w:sz w:val="14"/>
              </w:rPr>
              <w:t>FSTS×DAI</w:t>
            </w:r>
          </w:p>
        </w:tc>
        <w:tc>
          <w:tcPr>
            <w:tcW w:type="dxa" w:w="1170"/>
          </w:tcPr>
          <w:p>
            <w:pPr>
              <w:jc w:val="center"/>
            </w:pPr>
            <w:r/>
            <w:r>
              <w:rPr>
                <w:rFonts w:ascii="Times New Roman" w:hAnsi="Times New Roman"/>
                <w:b w:val="0"/>
                <w:sz w:val="14"/>
              </w:rPr>
            </w:r>
          </w:p>
        </w:tc>
        <w:tc>
          <w:tcPr>
            <w:tcW w:type="dxa" w:w="1170"/>
          </w:tcPr>
          <w:p>
            <w:pPr>
              <w:jc w:val="center"/>
            </w:pPr>
            <w:r/>
            <w:r>
              <w:rPr>
                <w:rFonts w:ascii="Times New Roman" w:hAnsi="Times New Roman"/>
                <w:b w:val="0"/>
                <w:sz w:val="14"/>
              </w:rPr>
            </w:r>
          </w:p>
        </w:tc>
        <w:tc>
          <w:tcPr>
            <w:tcW w:type="dxa" w:w="1170"/>
          </w:tcPr>
          <w:p>
            <w:pPr>
              <w:jc w:val="center"/>
            </w:pPr>
            <w:r/>
            <w:r>
              <w:rPr>
                <w:rFonts w:ascii="Times New Roman" w:hAnsi="Times New Roman"/>
                <w:b w:val="0"/>
                <w:sz w:val="14"/>
              </w:rPr>
            </w:r>
          </w:p>
        </w:tc>
        <w:tc>
          <w:tcPr>
            <w:tcW w:type="dxa" w:w="1170"/>
          </w:tcPr>
          <w:p>
            <w:pPr>
              <w:jc w:val="center"/>
            </w:pPr>
            <w:r/>
            <w:r>
              <w:rPr>
                <w:rFonts w:ascii="Times New Roman" w:hAnsi="Times New Roman"/>
                <w:b w:val="0"/>
                <w:sz w:val="14"/>
              </w:rPr>
            </w:r>
          </w:p>
        </w:tc>
        <w:tc>
          <w:tcPr>
            <w:tcW w:type="dxa" w:w="1170"/>
          </w:tcPr>
          <w:p>
            <w:pPr>
              <w:jc w:val="center"/>
            </w:pPr>
            <w:r/>
            <w:r>
              <w:rPr>
                <w:rFonts w:ascii="Times New Roman" w:hAnsi="Times New Roman"/>
                <w:b w:val="0"/>
                <w:sz w:val="14"/>
              </w:rPr>
            </w:r>
          </w:p>
        </w:tc>
        <w:tc>
          <w:tcPr>
            <w:tcW w:type="dxa" w:w="1170"/>
          </w:tcPr>
          <w:p>
            <w:pPr>
              <w:jc w:val="center"/>
            </w:pPr>
            <w:r/>
            <w:r>
              <w:rPr>
                <w:rFonts w:ascii="Times New Roman" w:hAnsi="Times New Roman"/>
                <w:b w:val="0"/>
                <w:sz w:val="14"/>
              </w:rPr>
              <w:t>-1.181</w:t>
            </w:r>
          </w:p>
        </w:tc>
        <w:tc>
          <w:tcPr>
            <w:tcW w:type="dxa" w:w="1170"/>
          </w:tcPr>
          <w:p>
            <w:pPr>
              <w:jc w:val="center"/>
            </w:pPr>
            <w:r/>
            <w:r>
              <w:rPr>
                <w:rFonts w:ascii="Times New Roman" w:hAnsi="Times New Roman"/>
                <w:b w:val="0"/>
                <w:sz w:val="14"/>
              </w:rPr>
              <w:t>-1.279</w:t>
            </w:r>
          </w:p>
        </w:tc>
      </w:tr>
      <w:tr>
        <w:tc>
          <w:tcPr>
            <w:tcW w:type="dxa" w:w="1170"/>
          </w:tcPr>
          <w:p>
            <w:pPr>
              <w:jc w:val="center"/>
            </w:pPr>
            <w:r/>
            <w:r>
              <w:rPr>
                <w:rFonts w:ascii="Times New Roman" w:hAnsi="Times New Roman"/>
                <w:b w:val="0"/>
                <w:sz w:val="14"/>
              </w:rPr>
            </w:r>
          </w:p>
        </w:tc>
        <w:tc>
          <w:tcPr>
            <w:tcW w:type="dxa" w:w="1170"/>
          </w:tcPr>
          <w:p>
            <w:pPr>
              <w:jc w:val="center"/>
            </w:pPr>
            <w:r/>
            <w:r>
              <w:rPr>
                <w:rFonts w:ascii="Times New Roman" w:hAnsi="Times New Roman"/>
                <w:b w:val="0"/>
                <w:sz w:val="12"/>
              </w:rPr>
            </w:r>
          </w:p>
        </w:tc>
        <w:tc>
          <w:tcPr>
            <w:tcW w:type="dxa" w:w="1170"/>
          </w:tcPr>
          <w:p>
            <w:pPr>
              <w:jc w:val="center"/>
            </w:pPr>
            <w:r/>
            <w:r>
              <w:rPr>
                <w:rFonts w:ascii="Times New Roman" w:hAnsi="Times New Roman"/>
                <w:b w:val="0"/>
                <w:sz w:val="12"/>
              </w:rPr>
            </w:r>
          </w:p>
        </w:tc>
        <w:tc>
          <w:tcPr>
            <w:tcW w:type="dxa" w:w="1170"/>
          </w:tcPr>
          <w:p>
            <w:pPr>
              <w:jc w:val="center"/>
            </w:pPr>
            <w:r/>
            <w:r>
              <w:rPr>
                <w:rFonts w:ascii="Times New Roman" w:hAnsi="Times New Roman"/>
                <w:b w:val="0"/>
                <w:sz w:val="12"/>
              </w:rPr>
            </w:r>
          </w:p>
        </w:tc>
        <w:tc>
          <w:tcPr>
            <w:tcW w:type="dxa" w:w="1170"/>
          </w:tcPr>
          <w:p>
            <w:pPr>
              <w:jc w:val="center"/>
            </w:pPr>
            <w:r/>
            <w:r>
              <w:rPr>
                <w:rFonts w:ascii="Times New Roman" w:hAnsi="Times New Roman"/>
                <w:b w:val="0"/>
                <w:sz w:val="12"/>
              </w:rPr>
            </w:r>
          </w:p>
        </w:tc>
        <w:tc>
          <w:tcPr>
            <w:tcW w:type="dxa" w:w="1170"/>
          </w:tcPr>
          <w:p>
            <w:pPr>
              <w:jc w:val="center"/>
            </w:pPr>
            <w:r/>
            <w:r>
              <w:rPr>
                <w:rFonts w:ascii="Times New Roman" w:hAnsi="Times New Roman"/>
                <w:b w:val="0"/>
                <w:sz w:val="12"/>
              </w:rPr>
            </w:r>
          </w:p>
        </w:tc>
        <w:tc>
          <w:tcPr>
            <w:tcW w:type="dxa" w:w="1170"/>
          </w:tcPr>
          <w:p>
            <w:pPr>
              <w:jc w:val="center"/>
            </w:pPr>
            <w:r/>
            <w:r>
              <w:rPr>
                <w:rFonts w:ascii="Times New Roman" w:hAnsi="Times New Roman"/>
                <w:b w:val="0"/>
                <w:sz w:val="12"/>
              </w:rPr>
              <w:t>(0.913)</w:t>
            </w:r>
          </w:p>
        </w:tc>
        <w:tc>
          <w:tcPr>
            <w:tcW w:type="dxa" w:w="1170"/>
          </w:tcPr>
          <w:p>
            <w:pPr>
              <w:jc w:val="center"/>
            </w:pPr>
            <w:r/>
            <w:r>
              <w:rPr>
                <w:rFonts w:ascii="Times New Roman" w:hAnsi="Times New Roman"/>
                <w:b w:val="0"/>
                <w:sz w:val="12"/>
              </w:rPr>
              <w:t>(0.893)</w:t>
            </w:r>
          </w:p>
        </w:tc>
      </w:tr>
      <w:tr>
        <w:tc>
          <w:tcPr>
            <w:tcW w:type="dxa" w:w="1170"/>
          </w:tcPr>
          <w:p>
            <w:pPr>
              <w:jc w:val="left"/>
            </w:pPr>
            <w:r/>
            <w:r>
              <w:rPr>
                <w:rFonts w:ascii="Times New Roman" w:hAnsi="Times New Roman"/>
                <w:b w:val="0"/>
                <w:sz w:val="14"/>
              </w:rPr>
              <w:t>FSTS²×DAI</w:t>
            </w:r>
          </w:p>
        </w:tc>
        <w:tc>
          <w:tcPr>
            <w:tcW w:type="dxa" w:w="1170"/>
          </w:tcPr>
          <w:p>
            <w:pPr>
              <w:jc w:val="center"/>
            </w:pPr>
            <w:r/>
            <w:r>
              <w:rPr>
                <w:rFonts w:ascii="Times New Roman" w:hAnsi="Times New Roman"/>
                <w:b w:val="0"/>
                <w:sz w:val="14"/>
              </w:rPr>
            </w:r>
          </w:p>
        </w:tc>
        <w:tc>
          <w:tcPr>
            <w:tcW w:type="dxa" w:w="1170"/>
          </w:tcPr>
          <w:p>
            <w:pPr>
              <w:jc w:val="center"/>
            </w:pPr>
            <w:r/>
            <w:r>
              <w:rPr>
                <w:rFonts w:ascii="Times New Roman" w:hAnsi="Times New Roman"/>
                <w:b w:val="0"/>
                <w:sz w:val="14"/>
              </w:rPr>
            </w:r>
          </w:p>
        </w:tc>
        <w:tc>
          <w:tcPr>
            <w:tcW w:type="dxa" w:w="1170"/>
          </w:tcPr>
          <w:p>
            <w:pPr>
              <w:jc w:val="center"/>
            </w:pPr>
            <w:r/>
            <w:r>
              <w:rPr>
                <w:rFonts w:ascii="Times New Roman" w:hAnsi="Times New Roman"/>
                <w:b w:val="0"/>
                <w:sz w:val="14"/>
              </w:rPr>
            </w:r>
          </w:p>
        </w:tc>
        <w:tc>
          <w:tcPr>
            <w:tcW w:type="dxa" w:w="1170"/>
          </w:tcPr>
          <w:p>
            <w:pPr>
              <w:jc w:val="center"/>
            </w:pPr>
            <w:r/>
            <w:r>
              <w:rPr>
                <w:rFonts w:ascii="Times New Roman" w:hAnsi="Times New Roman"/>
                <w:b w:val="0"/>
                <w:sz w:val="14"/>
              </w:rPr>
            </w:r>
          </w:p>
        </w:tc>
        <w:tc>
          <w:tcPr>
            <w:tcW w:type="dxa" w:w="1170"/>
          </w:tcPr>
          <w:p>
            <w:pPr>
              <w:jc w:val="center"/>
            </w:pPr>
            <w:r/>
            <w:r>
              <w:rPr>
                <w:rFonts w:ascii="Times New Roman" w:hAnsi="Times New Roman"/>
                <w:b w:val="0"/>
                <w:sz w:val="14"/>
              </w:rPr>
            </w:r>
          </w:p>
        </w:tc>
        <w:tc>
          <w:tcPr>
            <w:tcW w:type="dxa" w:w="1170"/>
          </w:tcPr>
          <w:p>
            <w:pPr>
              <w:jc w:val="center"/>
            </w:pPr>
            <w:r/>
            <w:r>
              <w:rPr>
                <w:rFonts w:ascii="Times New Roman" w:hAnsi="Times New Roman"/>
                <w:b w:val="0"/>
                <w:sz w:val="14"/>
              </w:rPr>
              <w:t>2.869*</w:t>
            </w:r>
          </w:p>
        </w:tc>
        <w:tc>
          <w:tcPr>
            <w:tcW w:type="dxa" w:w="1170"/>
          </w:tcPr>
          <w:p>
            <w:pPr>
              <w:jc w:val="center"/>
            </w:pPr>
            <w:r/>
            <w:r>
              <w:rPr>
                <w:rFonts w:ascii="Times New Roman" w:hAnsi="Times New Roman"/>
                <w:b w:val="0"/>
                <w:sz w:val="14"/>
              </w:rPr>
              <w:t>3.023*</w:t>
            </w:r>
          </w:p>
        </w:tc>
      </w:tr>
      <w:tr>
        <w:tc>
          <w:tcPr>
            <w:tcW w:type="dxa" w:w="1170"/>
          </w:tcPr>
          <w:p>
            <w:pPr>
              <w:jc w:val="center"/>
            </w:pPr>
            <w:r/>
            <w:r>
              <w:rPr>
                <w:rFonts w:ascii="Times New Roman" w:hAnsi="Times New Roman"/>
                <w:b w:val="0"/>
                <w:sz w:val="14"/>
              </w:rPr>
            </w:r>
          </w:p>
        </w:tc>
        <w:tc>
          <w:tcPr>
            <w:tcW w:type="dxa" w:w="1170"/>
          </w:tcPr>
          <w:p>
            <w:pPr>
              <w:jc w:val="center"/>
            </w:pPr>
            <w:r/>
            <w:r>
              <w:rPr>
                <w:rFonts w:ascii="Times New Roman" w:hAnsi="Times New Roman"/>
                <w:b w:val="0"/>
                <w:sz w:val="12"/>
              </w:rPr>
            </w:r>
          </w:p>
        </w:tc>
        <w:tc>
          <w:tcPr>
            <w:tcW w:type="dxa" w:w="1170"/>
          </w:tcPr>
          <w:p>
            <w:pPr>
              <w:jc w:val="center"/>
            </w:pPr>
            <w:r/>
            <w:r>
              <w:rPr>
                <w:rFonts w:ascii="Times New Roman" w:hAnsi="Times New Roman"/>
                <w:b w:val="0"/>
                <w:sz w:val="12"/>
              </w:rPr>
            </w:r>
          </w:p>
        </w:tc>
        <w:tc>
          <w:tcPr>
            <w:tcW w:type="dxa" w:w="1170"/>
          </w:tcPr>
          <w:p>
            <w:pPr>
              <w:jc w:val="center"/>
            </w:pPr>
            <w:r/>
            <w:r>
              <w:rPr>
                <w:rFonts w:ascii="Times New Roman" w:hAnsi="Times New Roman"/>
                <w:b w:val="0"/>
                <w:sz w:val="12"/>
              </w:rPr>
            </w:r>
          </w:p>
        </w:tc>
        <w:tc>
          <w:tcPr>
            <w:tcW w:type="dxa" w:w="1170"/>
          </w:tcPr>
          <w:p>
            <w:pPr>
              <w:jc w:val="center"/>
            </w:pPr>
            <w:r/>
            <w:r>
              <w:rPr>
                <w:rFonts w:ascii="Times New Roman" w:hAnsi="Times New Roman"/>
                <w:b w:val="0"/>
                <w:sz w:val="12"/>
              </w:rPr>
            </w:r>
          </w:p>
        </w:tc>
        <w:tc>
          <w:tcPr>
            <w:tcW w:type="dxa" w:w="1170"/>
          </w:tcPr>
          <w:p>
            <w:pPr>
              <w:jc w:val="center"/>
            </w:pPr>
            <w:r/>
            <w:r>
              <w:rPr>
                <w:rFonts w:ascii="Times New Roman" w:hAnsi="Times New Roman"/>
                <w:b w:val="0"/>
                <w:sz w:val="12"/>
              </w:rPr>
            </w:r>
          </w:p>
        </w:tc>
        <w:tc>
          <w:tcPr>
            <w:tcW w:type="dxa" w:w="1170"/>
          </w:tcPr>
          <w:p>
            <w:pPr>
              <w:jc w:val="center"/>
            </w:pPr>
            <w:r/>
            <w:r>
              <w:rPr>
                <w:rFonts w:ascii="Times New Roman" w:hAnsi="Times New Roman"/>
                <w:b w:val="0"/>
                <w:sz w:val="12"/>
              </w:rPr>
              <w:t>(1.284)</w:t>
            </w:r>
          </w:p>
        </w:tc>
        <w:tc>
          <w:tcPr>
            <w:tcW w:type="dxa" w:w="1170"/>
          </w:tcPr>
          <w:p>
            <w:pPr>
              <w:jc w:val="center"/>
            </w:pPr>
            <w:r/>
            <w:r>
              <w:rPr>
                <w:rFonts w:ascii="Times New Roman" w:hAnsi="Times New Roman"/>
                <w:b w:val="0"/>
                <w:sz w:val="12"/>
              </w:rPr>
              <w:t>(1.309)</w:t>
            </w:r>
          </w:p>
        </w:tc>
      </w:tr>
      <w:tr>
        <w:tc>
          <w:tcPr>
            <w:tcW w:type="dxa" w:w="1170"/>
          </w:tcPr>
          <w:p>
            <w:pPr>
              <w:jc w:val="left"/>
            </w:pPr>
            <w:r/>
            <w:r>
              <w:rPr>
                <w:rFonts w:ascii="Times New Roman" w:hAnsi="Times New Roman"/>
                <w:b w:val="0"/>
                <w:sz w:val="14"/>
              </w:rPr>
              <w:t>Size</w:t>
            </w:r>
          </w:p>
        </w:tc>
        <w:tc>
          <w:tcPr>
            <w:tcW w:type="dxa" w:w="1170"/>
          </w:tcPr>
          <w:p>
            <w:pPr>
              <w:jc w:val="center"/>
            </w:pPr>
            <w:r/>
            <w:r>
              <w:rPr>
                <w:rFonts w:ascii="Times New Roman" w:hAnsi="Times New Roman"/>
                <w:b w:val="0"/>
                <w:sz w:val="14"/>
              </w:rPr>
              <w:t>-0.164***</w:t>
            </w:r>
          </w:p>
        </w:tc>
        <w:tc>
          <w:tcPr>
            <w:tcW w:type="dxa" w:w="1170"/>
          </w:tcPr>
          <w:p>
            <w:pPr>
              <w:jc w:val="center"/>
            </w:pPr>
            <w:r/>
            <w:r>
              <w:rPr>
                <w:rFonts w:ascii="Times New Roman" w:hAnsi="Times New Roman"/>
                <w:b w:val="0"/>
                <w:sz w:val="14"/>
              </w:rPr>
              <w:t>-0.153***</w:t>
            </w:r>
          </w:p>
        </w:tc>
        <w:tc>
          <w:tcPr>
            <w:tcW w:type="dxa" w:w="1170"/>
          </w:tcPr>
          <w:p>
            <w:pPr>
              <w:jc w:val="center"/>
            </w:pPr>
            <w:r/>
            <w:r>
              <w:rPr>
                <w:rFonts w:ascii="Times New Roman" w:hAnsi="Times New Roman"/>
                <w:b w:val="0"/>
                <w:sz w:val="14"/>
              </w:rPr>
              <w:t>-0.207***</w:t>
            </w:r>
          </w:p>
        </w:tc>
        <w:tc>
          <w:tcPr>
            <w:tcW w:type="dxa" w:w="1170"/>
          </w:tcPr>
          <w:p>
            <w:pPr>
              <w:jc w:val="center"/>
            </w:pPr>
            <w:r/>
            <w:r>
              <w:rPr>
                <w:rFonts w:ascii="Times New Roman" w:hAnsi="Times New Roman"/>
                <w:b w:val="0"/>
                <w:sz w:val="14"/>
              </w:rPr>
              <w:t>-0.163***</w:t>
            </w:r>
          </w:p>
        </w:tc>
        <w:tc>
          <w:tcPr>
            <w:tcW w:type="dxa" w:w="1170"/>
          </w:tcPr>
          <w:p>
            <w:pPr>
              <w:jc w:val="center"/>
            </w:pPr>
            <w:r/>
            <w:r>
              <w:rPr>
                <w:rFonts w:ascii="Times New Roman" w:hAnsi="Times New Roman"/>
                <w:b w:val="0"/>
                <w:sz w:val="14"/>
              </w:rPr>
              <w:t>-0.210***</w:t>
            </w:r>
          </w:p>
        </w:tc>
        <w:tc>
          <w:tcPr>
            <w:tcW w:type="dxa" w:w="1170"/>
          </w:tcPr>
          <w:p>
            <w:pPr>
              <w:jc w:val="center"/>
            </w:pPr>
            <w:r/>
            <w:r>
              <w:rPr>
                <w:rFonts w:ascii="Times New Roman" w:hAnsi="Times New Roman"/>
                <w:b w:val="0"/>
                <w:sz w:val="14"/>
              </w:rPr>
              <w:t>-0.152***</w:t>
            </w:r>
          </w:p>
        </w:tc>
        <w:tc>
          <w:tcPr>
            <w:tcW w:type="dxa" w:w="1170"/>
          </w:tcPr>
          <w:p>
            <w:pPr>
              <w:jc w:val="center"/>
            </w:pPr>
            <w:r/>
            <w:r>
              <w:rPr>
                <w:rFonts w:ascii="Times New Roman" w:hAnsi="Times New Roman"/>
                <w:b w:val="0"/>
                <w:sz w:val="14"/>
              </w:rPr>
              <w:t>-0.199***</w:t>
            </w:r>
          </w:p>
        </w:tc>
      </w:tr>
      <w:tr>
        <w:tc>
          <w:tcPr>
            <w:tcW w:type="dxa" w:w="1170"/>
          </w:tcPr>
          <w:p>
            <w:pPr>
              <w:jc w:val="center"/>
            </w:pPr>
            <w:r/>
            <w:r>
              <w:rPr>
                <w:rFonts w:ascii="Times New Roman" w:hAnsi="Times New Roman"/>
                <w:b w:val="0"/>
                <w:sz w:val="14"/>
              </w:rPr>
            </w:r>
          </w:p>
        </w:tc>
        <w:tc>
          <w:tcPr>
            <w:tcW w:type="dxa" w:w="1170"/>
          </w:tcPr>
          <w:p>
            <w:pPr>
              <w:jc w:val="center"/>
            </w:pPr>
            <w:r/>
            <w:r>
              <w:rPr>
                <w:rFonts w:ascii="Times New Roman" w:hAnsi="Times New Roman"/>
                <w:b w:val="0"/>
                <w:sz w:val="12"/>
              </w:rPr>
              <w:t>(0.037)</w:t>
            </w:r>
          </w:p>
        </w:tc>
        <w:tc>
          <w:tcPr>
            <w:tcW w:type="dxa" w:w="1170"/>
          </w:tcPr>
          <w:p>
            <w:pPr>
              <w:jc w:val="center"/>
            </w:pPr>
            <w:r/>
            <w:r>
              <w:rPr>
                <w:rFonts w:ascii="Times New Roman" w:hAnsi="Times New Roman"/>
                <w:b w:val="0"/>
                <w:sz w:val="12"/>
              </w:rPr>
              <w:t>(0.036)</w:t>
            </w:r>
          </w:p>
        </w:tc>
        <w:tc>
          <w:tcPr>
            <w:tcW w:type="dxa" w:w="1170"/>
          </w:tcPr>
          <w:p>
            <w:pPr>
              <w:jc w:val="center"/>
            </w:pPr>
            <w:r/>
            <w:r>
              <w:rPr>
                <w:rFonts w:ascii="Times New Roman" w:hAnsi="Times New Roman"/>
                <w:b w:val="0"/>
                <w:sz w:val="12"/>
              </w:rPr>
              <w:t>(0.036)</w:t>
            </w:r>
          </w:p>
        </w:tc>
        <w:tc>
          <w:tcPr>
            <w:tcW w:type="dxa" w:w="1170"/>
          </w:tcPr>
          <w:p>
            <w:pPr>
              <w:jc w:val="center"/>
            </w:pPr>
            <w:r/>
            <w:r>
              <w:rPr>
                <w:rFonts w:ascii="Times New Roman" w:hAnsi="Times New Roman"/>
                <w:b w:val="0"/>
                <w:sz w:val="12"/>
              </w:rPr>
              <w:t>(0.036)</w:t>
            </w:r>
          </w:p>
        </w:tc>
        <w:tc>
          <w:tcPr>
            <w:tcW w:type="dxa" w:w="1170"/>
          </w:tcPr>
          <w:p>
            <w:pPr>
              <w:jc w:val="center"/>
            </w:pPr>
            <w:r/>
            <w:r>
              <w:rPr>
                <w:rFonts w:ascii="Times New Roman" w:hAnsi="Times New Roman"/>
                <w:b w:val="0"/>
                <w:sz w:val="12"/>
              </w:rPr>
              <w:t>(0.036)</w:t>
            </w:r>
          </w:p>
        </w:tc>
        <w:tc>
          <w:tcPr>
            <w:tcW w:type="dxa" w:w="1170"/>
          </w:tcPr>
          <w:p>
            <w:pPr>
              <w:jc w:val="center"/>
            </w:pPr>
            <w:r/>
            <w:r>
              <w:rPr>
                <w:rFonts w:ascii="Times New Roman" w:hAnsi="Times New Roman"/>
                <w:b w:val="0"/>
                <w:sz w:val="12"/>
              </w:rPr>
              <w:t>(0.036)</w:t>
            </w:r>
          </w:p>
        </w:tc>
        <w:tc>
          <w:tcPr>
            <w:tcW w:type="dxa" w:w="1170"/>
          </w:tcPr>
          <w:p>
            <w:pPr>
              <w:jc w:val="center"/>
            </w:pPr>
            <w:r/>
            <w:r>
              <w:rPr>
                <w:rFonts w:ascii="Times New Roman" w:hAnsi="Times New Roman"/>
                <w:b w:val="0"/>
                <w:sz w:val="12"/>
              </w:rPr>
              <w:t>(0.037)</w:t>
            </w:r>
          </w:p>
        </w:tc>
      </w:tr>
      <w:tr>
        <w:tc>
          <w:tcPr>
            <w:tcW w:type="dxa" w:w="1170"/>
          </w:tcPr>
          <w:p>
            <w:pPr>
              <w:jc w:val="left"/>
            </w:pPr>
            <w:r/>
            <w:r>
              <w:rPr>
                <w:rFonts w:ascii="Times New Roman" w:hAnsi="Times New Roman"/>
                <w:b w:val="0"/>
                <w:sz w:val="14"/>
              </w:rPr>
              <w:t>Age</w:t>
            </w:r>
          </w:p>
        </w:tc>
        <w:tc>
          <w:tcPr>
            <w:tcW w:type="dxa" w:w="1170"/>
          </w:tcPr>
          <w:p>
            <w:pPr>
              <w:jc w:val="center"/>
            </w:pPr>
            <w:r/>
            <w:r>
              <w:rPr>
                <w:rFonts w:ascii="Times New Roman" w:hAnsi="Times New Roman"/>
                <w:b w:val="0"/>
                <w:sz w:val="14"/>
              </w:rPr>
              <w:t>0.018***</w:t>
            </w:r>
          </w:p>
        </w:tc>
        <w:tc>
          <w:tcPr>
            <w:tcW w:type="dxa" w:w="1170"/>
          </w:tcPr>
          <w:p>
            <w:pPr>
              <w:jc w:val="center"/>
            </w:pPr>
            <w:r/>
            <w:r>
              <w:rPr>
                <w:rFonts w:ascii="Times New Roman" w:hAnsi="Times New Roman"/>
                <w:b w:val="0"/>
                <w:sz w:val="14"/>
              </w:rPr>
              <w:t>0.015***</w:t>
            </w:r>
          </w:p>
        </w:tc>
        <w:tc>
          <w:tcPr>
            <w:tcW w:type="dxa" w:w="1170"/>
          </w:tcPr>
          <w:p>
            <w:pPr>
              <w:jc w:val="center"/>
            </w:pPr>
            <w:r/>
            <w:r>
              <w:rPr>
                <w:rFonts w:ascii="Times New Roman" w:hAnsi="Times New Roman"/>
                <w:b w:val="0"/>
                <w:sz w:val="14"/>
              </w:rPr>
              <w:t>0.016***</w:t>
            </w:r>
          </w:p>
        </w:tc>
        <w:tc>
          <w:tcPr>
            <w:tcW w:type="dxa" w:w="1170"/>
          </w:tcPr>
          <w:p>
            <w:pPr>
              <w:jc w:val="center"/>
            </w:pPr>
            <w:r/>
            <w:r>
              <w:rPr>
                <w:rFonts w:ascii="Times New Roman" w:hAnsi="Times New Roman"/>
                <w:b w:val="0"/>
                <w:sz w:val="14"/>
              </w:rPr>
              <w:t>0.015***</w:t>
            </w:r>
          </w:p>
        </w:tc>
        <w:tc>
          <w:tcPr>
            <w:tcW w:type="dxa" w:w="1170"/>
          </w:tcPr>
          <w:p>
            <w:pPr>
              <w:jc w:val="center"/>
            </w:pPr>
            <w:r/>
            <w:r>
              <w:rPr>
                <w:rFonts w:ascii="Times New Roman" w:hAnsi="Times New Roman"/>
                <w:b w:val="0"/>
                <w:sz w:val="14"/>
              </w:rPr>
              <w:t>0.016***</w:t>
            </w:r>
          </w:p>
        </w:tc>
        <w:tc>
          <w:tcPr>
            <w:tcW w:type="dxa" w:w="1170"/>
          </w:tcPr>
          <w:p>
            <w:pPr>
              <w:jc w:val="center"/>
            </w:pPr>
            <w:r/>
            <w:r>
              <w:rPr>
                <w:rFonts w:ascii="Times New Roman" w:hAnsi="Times New Roman"/>
                <w:b w:val="0"/>
                <w:sz w:val="14"/>
              </w:rPr>
              <w:t>0.015***</w:t>
            </w:r>
          </w:p>
        </w:tc>
        <w:tc>
          <w:tcPr>
            <w:tcW w:type="dxa" w:w="1170"/>
          </w:tcPr>
          <w:p>
            <w:pPr>
              <w:jc w:val="center"/>
            </w:pPr>
            <w:r/>
            <w:r>
              <w:rPr>
                <w:rFonts w:ascii="Times New Roman" w:hAnsi="Times New Roman"/>
                <w:b w:val="0"/>
                <w:sz w:val="14"/>
              </w:rPr>
              <w:t>0.015***</w:t>
            </w:r>
          </w:p>
        </w:tc>
      </w:tr>
      <w:tr>
        <w:tc>
          <w:tcPr>
            <w:tcW w:type="dxa" w:w="1170"/>
          </w:tcPr>
          <w:p>
            <w:pPr>
              <w:jc w:val="center"/>
            </w:pPr>
            <w:r/>
            <w:r>
              <w:rPr>
                <w:rFonts w:ascii="Times New Roman" w:hAnsi="Times New Roman"/>
                <w:b w:val="0"/>
                <w:sz w:val="14"/>
              </w:rPr>
            </w:r>
          </w:p>
        </w:tc>
        <w:tc>
          <w:tcPr>
            <w:tcW w:type="dxa" w:w="1170"/>
          </w:tcPr>
          <w:p>
            <w:pPr>
              <w:jc w:val="center"/>
            </w:pPr>
            <w:r/>
            <w:r>
              <w:rPr>
                <w:rFonts w:ascii="Times New Roman" w:hAnsi="Times New Roman"/>
                <w:b w:val="0"/>
                <w:sz w:val="12"/>
              </w:rPr>
              <w:t>(0.003)</w:t>
            </w:r>
          </w:p>
        </w:tc>
        <w:tc>
          <w:tcPr>
            <w:tcW w:type="dxa" w:w="1170"/>
          </w:tcPr>
          <w:p>
            <w:pPr>
              <w:jc w:val="center"/>
            </w:pPr>
            <w:r/>
            <w:r>
              <w:rPr>
                <w:rFonts w:ascii="Times New Roman" w:hAnsi="Times New Roman"/>
                <w:b w:val="0"/>
                <w:sz w:val="12"/>
              </w:rPr>
              <w:t>(0.003)</w:t>
            </w:r>
          </w:p>
        </w:tc>
        <w:tc>
          <w:tcPr>
            <w:tcW w:type="dxa" w:w="1170"/>
          </w:tcPr>
          <w:p>
            <w:pPr>
              <w:jc w:val="center"/>
            </w:pPr>
            <w:r/>
            <w:r>
              <w:rPr>
                <w:rFonts w:ascii="Times New Roman" w:hAnsi="Times New Roman"/>
                <w:b w:val="0"/>
                <w:sz w:val="12"/>
              </w:rPr>
              <w:t>(0.003)</w:t>
            </w:r>
          </w:p>
        </w:tc>
        <w:tc>
          <w:tcPr>
            <w:tcW w:type="dxa" w:w="1170"/>
          </w:tcPr>
          <w:p>
            <w:pPr>
              <w:jc w:val="center"/>
            </w:pPr>
            <w:r/>
            <w:r>
              <w:rPr>
                <w:rFonts w:ascii="Times New Roman" w:hAnsi="Times New Roman"/>
                <w:b w:val="0"/>
                <w:sz w:val="12"/>
              </w:rPr>
              <w:t>(0.003)</w:t>
            </w:r>
          </w:p>
        </w:tc>
        <w:tc>
          <w:tcPr>
            <w:tcW w:type="dxa" w:w="1170"/>
          </w:tcPr>
          <w:p>
            <w:pPr>
              <w:jc w:val="center"/>
            </w:pPr>
            <w:r/>
            <w:r>
              <w:rPr>
                <w:rFonts w:ascii="Times New Roman" w:hAnsi="Times New Roman"/>
                <w:b w:val="0"/>
                <w:sz w:val="12"/>
              </w:rPr>
              <w:t>(0.003)</w:t>
            </w:r>
          </w:p>
        </w:tc>
        <w:tc>
          <w:tcPr>
            <w:tcW w:type="dxa" w:w="1170"/>
          </w:tcPr>
          <w:p>
            <w:pPr>
              <w:jc w:val="center"/>
            </w:pPr>
            <w:r/>
            <w:r>
              <w:rPr>
                <w:rFonts w:ascii="Times New Roman" w:hAnsi="Times New Roman"/>
                <w:b w:val="0"/>
                <w:sz w:val="12"/>
              </w:rPr>
              <w:t>(0.003)</w:t>
            </w:r>
          </w:p>
        </w:tc>
        <w:tc>
          <w:tcPr>
            <w:tcW w:type="dxa" w:w="1170"/>
          </w:tcPr>
          <w:p>
            <w:pPr>
              <w:jc w:val="center"/>
            </w:pPr>
            <w:r/>
            <w:r>
              <w:rPr>
                <w:rFonts w:ascii="Times New Roman" w:hAnsi="Times New Roman"/>
                <w:b w:val="0"/>
                <w:sz w:val="12"/>
              </w:rPr>
              <w:t>(0.003)</w:t>
            </w:r>
          </w:p>
        </w:tc>
      </w:tr>
      <w:tr>
        <w:tc>
          <w:tcPr>
            <w:tcW w:type="dxa" w:w="1170"/>
          </w:tcPr>
          <w:p>
            <w:pPr>
              <w:jc w:val="left"/>
            </w:pPr>
            <w:r/>
            <w:r>
              <w:rPr>
                <w:rFonts w:ascii="Times New Roman" w:hAnsi="Times New Roman"/>
                <w:b w:val="0"/>
                <w:sz w:val="14"/>
              </w:rPr>
              <w:t>Foreign</w:t>
            </w:r>
          </w:p>
        </w:tc>
        <w:tc>
          <w:tcPr>
            <w:tcW w:type="dxa" w:w="1170"/>
          </w:tcPr>
          <w:p>
            <w:pPr>
              <w:jc w:val="center"/>
            </w:pPr>
            <w:r/>
            <w:r>
              <w:rPr>
                <w:rFonts w:ascii="Times New Roman" w:hAnsi="Times New Roman"/>
                <w:b w:val="0"/>
                <w:sz w:val="14"/>
              </w:rPr>
              <w:t>0.463***</w:t>
            </w:r>
          </w:p>
        </w:tc>
        <w:tc>
          <w:tcPr>
            <w:tcW w:type="dxa" w:w="1170"/>
          </w:tcPr>
          <w:p>
            <w:pPr>
              <w:jc w:val="center"/>
            </w:pPr>
            <w:r/>
            <w:r>
              <w:rPr>
                <w:rFonts w:ascii="Times New Roman" w:hAnsi="Times New Roman"/>
                <w:b w:val="0"/>
                <w:sz w:val="14"/>
              </w:rPr>
              <w:t>0.344***</w:t>
            </w:r>
          </w:p>
        </w:tc>
        <w:tc>
          <w:tcPr>
            <w:tcW w:type="dxa" w:w="1170"/>
          </w:tcPr>
          <w:p>
            <w:pPr>
              <w:jc w:val="center"/>
            </w:pPr>
            <w:r/>
            <w:r>
              <w:rPr>
                <w:rFonts w:ascii="Times New Roman" w:hAnsi="Times New Roman"/>
                <w:b w:val="0"/>
                <w:sz w:val="14"/>
              </w:rPr>
              <w:t>0.330***</w:t>
            </w:r>
          </w:p>
        </w:tc>
        <w:tc>
          <w:tcPr>
            <w:tcW w:type="dxa" w:w="1170"/>
          </w:tcPr>
          <w:p>
            <w:pPr>
              <w:jc w:val="center"/>
            </w:pPr>
            <w:r/>
            <w:r>
              <w:rPr>
                <w:rFonts w:ascii="Times New Roman" w:hAnsi="Times New Roman"/>
                <w:b w:val="0"/>
                <w:sz w:val="14"/>
              </w:rPr>
              <w:t>0.346***</w:t>
            </w:r>
          </w:p>
        </w:tc>
        <w:tc>
          <w:tcPr>
            <w:tcW w:type="dxa" w:w="1170"/>
          </w:tcPr>
          <w:p>
            <w:pPr>
              <w:jc w:val="center"/>
            </w:pPr>
            <w:r/>
            <w:r>
              <w:rPr>
                <w:rFonts w:ascii="Times New Roman" w:hAnsi="Times New Roman"/>
                <w:b w:val="0"/>
                <w:sz w:val="14"/>
              </w:rPr>
              <w:t>0.330***</w:t>
            </w:r>
          </w:p>
        </w:tc>
        <w:tc>
          <w:tcPr>
            <w:tcW w:type="dxa" w:w="1170"/>
          </w:tcPr>
          <w:p>
            <w:pPr>
              <w:jc w:val="center"/>
            </w:pPr>
            <w:r/>
            <w:r>
              <w:rPr>
                <w:rFonts w:ascii="Times New Roman" w:hAnsi="Times New Roman"/>
                <w:b w:val="0"/>
                <w:sz w:val="14"/>
              </w:rPr>
              <w:t>0.332***</w:t>
            </w:r>
          </w:p>
        </w:tc>
        <w:tc>
          <w:tcPr>
            <w:tcW w:type="dxa" w:w="1170"/>
          </w:tcPr>
          <w:p>
            <w:pPr>
              <w:jc w:val="center"/>
            </w:pPr>
            <w:r/>
            <w:r>
              <w:rPr>
                <w:rFonts w:ascii="Times New Roman" w:hAnsi="Times New Roman"/>
                <w:b w:val="0"/>
                <w:sz w:val="14"/>
              </w:rPr>
              <w:t>0.315***</w:t>
            </w:r>
          </w:p>
        </w:tc>
      </w:tr>
      <w:tr>
        <w:tc>
          <w:tcPr>
            <w:tcW w:type="dxa" w:w="1170"/>
          </w:tcPr>
          <w:p>
            <w:pPr>
              <w:jc w:val="center"/>
            </w:pPr>
            <w:r/>
            <w:r>
              <w:rPr>
                <w:rFonts w:ascii="Times New Roman" w:hAnsi="Times New Roman"/>
                <w:b w:val="0"/>
                <w:sz w:val="14"/>
              </w:rPr>
            </w:r>
          </w:p>
        </w:tc>
        <w:tc>
          <w:tcPr>
            <w:tcW w:type="dxa" w:w="1170"/>
          </w:tcPr>
          <w:p>
            <w:pPr>
              <w:jc w:val="center"/>
            </w:pPr>
            <w:r/>
            <w:r>
              <w:rPr>
                <w:rFonts w:ascii="Times New Roman" w:hAnsi="Times New Roman"/>
                <w:b w:val="0"/>
                <w:sz w:val="12"/>
              </w:rPr>
              <w:t>(0.099)</w:t>
            </w:r>
          </w:p>
        </w:tc>
        <w:tc>
          <w:tcPr>
            <w:tcW w:type="dxa" w:w="1170"/>
          </w:tcPr>
          <w:p>
            <w:pPr>
              <w:jc w:val="center"/>
            </w:pPr>
            <w:r/>
            <w:r>
              <w:rPr>
                <w:rFonts w:ascii="Times New Roman" w:hAnsi="Times New Roman"/>
                <w:b w:val="0"/>
                <w:sz w:val="12"/>
              </w:rPr>
              <w:t>(0.092)</w:t>
            </w:r>
          </w:p>
        </w:tc>
        <w:tc>
          <w:tcPr>
            <w:tcW w:type="dxa" w:w="1170"/>
          </w:tcPr>
          <w:p>
            <w:pPr>
              <w:jc w:val="center"/>
            </w:pPr>
            <w:r/>
            <w:r>
              <w:rPr>
                <w:rFonts w:ascii="Times New Roman" w:hAnsi="Times New Roman"/>
                <w:b w:val="0"/>
                <w:sz w:val="12"/>
              </w:rPr>
              <w:t>(0.091)</w:t>
            </w:r>
          </w:p>
        </w:tc>
        <w:tc>
          <w:tcPr>
            <w:tcW w:type="dxa" w:w="1170"/>
          </w:tcPr>
          <w:p>
            <w:pPr>
              <w:jc w:val="center"/>
            </w:pPr>
            <w:r/>
            <w:r>
              <w:rPr>
                <w:rFonts w:ascii="Times New Roman" w:hAnsi="Times New Roman"/>
                <w:b w:val="0"/>
                <w:sz w:val="12"/>
              </w:rPr>
              <w:t>(0.093)</w:t>
            </w:r>
          </w:p>
        </w:tc>
        <w:tc>
          <w:tcPr>
            <w:tcW w:type="dxa" w:w="1170"/>
          </w:tcPr>
          <w:p>
            <w:pPr>
              <w:jc w:val="center"/>
            </w:pPr>
            <w:r/>
            <w:r>
              <w:rPr>
                <w:rFonts w:ascii="Times New Roman" w:hAnsi="Times New Roman"/>
                <w:b w:val="0"/>
                <w:sz w:val="12"/>
              </w:rPr>
              <w:t>(0.092)</w:t>
            </w:r>
          </w:p>
        </w:tc>
        <w:tc>
          <w:tcPr>
            <w:tcW w:type="dxa" w:w="1170"/>
          </w:tcPr>
          <w:p>
            <w:pPr>
              <w:jc w:val="center"/>
            </w:pPr>
            <w:r/>
            <w:r>
              <w:rPr>
                <w:rFonts w:ascii="Times New Roman" w:hAnsi="Times New Roman"/>
                <w:b w:val="0"/>
                <w:sz w:val="12"/>
              </w:rPr>
              <w:t>(0.093)</w:t>
            </w:r>
          </w:p>
        </w:tc>
        <w:tc>
          <w:tcPr>
            <w:tcW w:type="dxa" w:w="1170"/>
          </w:tcPr>
          <w:p>
            <w:pPr>
              <w:jc w:val="center"/>
            </w:pPr>
            <w:r/>
            <w:r>
              <w:rPr>
                <w:rFonts w:ascii="Times New Roman" w:hAnsi="Times New Roman"/>
                <w:b w:val="0"/>
                <w:sz w:val="12"/>
              </w:rPr>
              <w:t>(0.092)</w:t>
            </w:r>
          </w:p>
        </w:tc>
      </w:tr>
      <w:tr>
        <w:tc>
          <w:tcPr>
            <w:tcW w:type="dxa" w:w="1170"/>
          </w:tcPr>
          <w:p>
            <w:pPr>
              <w:jc w:val="left"/>
            </w:pPr>
            <w:r/>
            <w:r>
              <w:rPr>
                <w:rFonts w:ascii="Times New Roman" w:hAnsi="Times New Roman"/>
                <w:b/>
                <w:sz w:val="14"/>
              </w:rPr>
              <w:t>N</w:t>
            </w:r>
          </w:p>
        </w:tc>
        <w:tc>
          <w:tcPr>
            <w:tcW w:type="dxa" w:w="1170"/>
          </w:tcPr>
          <w:p>
            <w:pPr>
              <w:jc w:val="center"/>
            </w:pPr>
            <w:r/>
            <w:r>
              <w:rPr>
                <w:rFonts w:ascii="Times New Roman" w:hAnsi="Times New Roman"/>
                <w:b w:val="0"/>
                <w:sz w:val="14"/>
              </w:rPr>
              <w:t>623</w:t>
            </w:r>
          </w:p>
        </w:tc>
        <w:tc>
          <w:tcPr>
            <w:tcW w:type="dxa" w:w="1170"/>
          </w:tcPr>
          <w:p>
            <w:pPr>
              <w:jc w:val="center"/>
            </w:pPr>
            <w:r/>
            <w:r>
              <w:rPr>
                <w:rFonts w:ascii="Times New Roman" w:hAnsi="Times New Roman"/>
                <w:b w:val="0"/>
                <w:sz w:val="14"/>
              </w:rPr>
              <w:t>623</w:t>
            </w:r>
          </w:p>
        </w:tc>
        <w:tc>
          <w:tcPr>
            <w:tcW w:type="dxa" w:w="1170"/>
          </w:tcPr>
          <w:p>
            <w:pPr>
              <w:jc w:val="center"/>
            </w:pPr>
            <w:r/>
            <w:r>
              <w:rPr>
                <w:rFonts w:ascii="Times New Roman" w:hAnsi="Times New Roman"/>
                <w:b w:val="0"/>
                <w:sz w:val="14"/>
              </w:rPr>
              <w:t>623</w:t>
            </w:r>
          </w:p>
        </w:tc>
        <w:tc>
          <w:tcPr>
            <w:tcW w:type="dxa" w:w="1170"/>
          </w:tcPr>
          <w:p>
            <w:pPr>
              <w:jc w:val="center"/>
            </w:pPr>
            <w:r/>
            <w:r>
              <w:rPr>
                <w:rFonts w:ascii="Times New Roman" w:hAnsi="Times New Roman"/>
                <w:b w:val="0"/>
                <w:sz w:val="14"/>
              </w:rPr>
              <w:t>617</w:t>
            </w:r>
          </w:p>
        </w:tc>
        <w:tc>
          <w:tcPr>
            <w:tcW w:type="dxa" w:w="1170"/>
          </w:tcPr>
          <w:p>
            <w:pPr>
              <w:jc w:val="center"/>
            </w:pPr>
            <w:r/>
            <w:r>
              <w:rPr>
                <w:rFonts w:ascii="Times New Roman" w:hAnsi="Times New Roman"/>
                <w:b w:val="0"/>
                <w:sz w:val="14"/>
              </w:rPr>
              <w:t>617</w:t>
            </w:r>
          </w:p>
        </w:tc>
        <w:tc>
          <w:tcPr>
            <w:tcW w:type="dxa" w:w="1170"/>
          </w:tcPr>
          <w:p>
            <w:pPr>
              <w:jc w:val="center"/>
            </w:pPr>
            <w:r/>
            <w:r>
              <w:rPr>
                <w:rFonts w:ascii="Times New Roman" w:hAnsi="Times New Roman"/>
                <w:b w:val="0"/>
                <w:sz w:val="14"/>
              </w:rPr>
              <w:t>617</w:t>
            </w:r>
          </w:p>
        </w:tc>
        <w:tc>
          <w:tcPr>
            <w:tcW w:type="dxa" w:w="1170"/>
          </w:tcPr>
          <w:p>
            <w:pPr>
              <w:jc w:val="center"/>
            </w:pPr>
            <w:r/>
            <w:r>
              <w:rPr>
                <w:rFonts w:ascii="Times New Roman" w:hAnsi="Times New Roman"/>
                <w:b w:val="0"/>
                <w:sz w:val="14"/>
              </w:rPr>
              <w:t>617</w:t>
            </w:r>
          </w:p>
        </w:tc>
      </w:tr>
      <w:tr>
        <w:tc>
          <w:tcPr>
            <w:tcW w:type="dxa" w:w="1170"/>
          </w:tcPr>
          <w:p>
            <w:pPr>
              <w:jc w:val="left"/>
            </w:pPr>
            <w:r/>
            <w:r>
              <w:rPr>
                <w:rFonts w:ascii="Times New Roman" w:hAnsi="Times New Roman"/>
                <w:b/>
                <w:sz w:val="14"/>
              </w:rPr>
              <w:t>R²</w:t>
            </w:r>
          </w:p>
        </w:tc>
        <w:tc>
          <w:tcPr>
            <w:tcW w:type="dxa" w:w="1170"/>
          </w:tcPr>
          <w:p>
            <w:pPr>
              <w:jc w:val="center"/>
            </w:pPr>
            <w:r/>
            <w:r>
              <w:rPr>
                <w:rFonts w:ascii="Times New Roman" w:hAnsi="Times New Roman"/>
                <w:b w:val="0"/>
                <w:sz w:val="14"/>
              </w:rPr>
              <w:t>0.0816</w:t>
            </w:r>
          </w:p>
        </w:tc>
        <w:tc>
          <w:tcPr>
            <w:tcW w:type="dxa" w:w="1170"/>
          </w:tcPr>
          <w:p>
            <w:pPr>
              <w:jc w:val="center"/>
            </w:pPr>
            <w:r/>
            <w:r>
              <w:rPr>
                <w:rFonts w:ascii="Times New Roman" w:hAnsi="Times New Roman"/>
                <w:b w:val="0"/>
                <w:sz w:val="14"/>
              </w:rPr>
              <w:t>0.1620</w:t>
            </w:r>
          </w:p>
        </w:tc>
        <w:tc>
          <w:tcPr>
            <w:tcW w:type="dxa" w:w="1170"/>
          </w:tcPr>
          <w:p>
            <w:pPr>
              <w:jc w:val="center"/>
            </w:pPr>
            <w:r/>
            <w:r>
              <w:rPr>
                <w:rFonts w:ascii="Times New Roman" w:hAnsi="Times New Roman"/>
                <w:b w:val="0"/>
                <w:sz w:val="14"/>
              </w:rPr>
              <w:t>0.1914</w:t>
            </w:r>
          </w:p>
        </w:tc>
        <w:tc>
          <w:tcPr>
            <w:tcW w:type="dxa" w:w="1170"/>
          </w:tcPr>
          <w:p>
            <w:pPr>
              <w:jc w:val="center"/>
            </w:pPr>
            <w:r/>
            <w:r>
              <w:rPr>
                <w:rFonts w:ascii="Times New Roman" w:hAnsi="Times New Roman"/>
                <w:b w:val="0"/>
                <w:sz w:val="14"/>
              </w:rPr>
              <w:t>0.1699</w:t>
            </w:r>
          </w:p>
        </w:tc>
        <w:tc>
          <w:tcPr>
            <w:tcW w:type="dxa" w:w="1170"/>
          </w:tcPr>
          <w:p>
            <w:pPr>
              <w:jc w:val="center"/>
            </w:pPr>
            <w:r/>
            <w:r>
              <w:rPr>
                <w:rFonts w:ascii="Times New Roman" w:hAnsi="Times New Roman"/>
                <w:b w:val="0"/>
                <w:sz w:val="14"/>
              </w:rPr>
              <w:t>0.1932</w:t>
            </w:r>
          </w:p>
        </w:tc>
        <w:tc>
          <w:tcPr>
            <w:tcW w:type="dxa" w:w="1170"/>
          </w:tcPr>
          <w:p>
            <w:pPr>
              <w:jc w:val="center"/>
            </w:pPr>
            <w:r/>
            <w:r>
              <w:rPr>
                <w:rFonts w:ascii="Times New Roman" w:hAnsi="Times New Roman"/>
                <w:b w:val="0"/>
                <w:sz w:val="14"/>
              </w:rPr>
              <w:t>0.1782</w:t>
            </w:r>
          </w:p>
        </w:tc>
        <w:tc>
          <w:tcPr>
            <w:tcW w:type="dxa" w:w="1170"/>
          </w:tcPr>
          <w:p>
            <w:pPr>
              <w:jc w:val="center"/>
            </w:pPr>
            <w:r/>
            <w:r>
              <w:rPr>
                <w:rFonts w:ascii="Times New Roman" w:hAnsi="Times New Roman"/>
                <w:b w:val="0"/>
                <w:sz w:val="14"/>
              </w:rPr>
              <w:t>0.2021</w:t>
            </w:r>
          </w:p>
        </w:tc>
      </w:tr>
      <w:tr>
        <w:tc>
          <w:tcPr>
            <w:tcW w:type="dxa" w:w="1170"/>
          </w:tcPr>
          <w:p>
            <w:pPr>
              <w:jc w:val="left"/>
            </w:pPr>
            <w:r/>
            <w:r>
              <w:rPr>
                <w:rFonts w:ascii="Times New Roman" w:hAnsi="Times New Roman"/>
                <w:b/>
                <w:sz w:val="14"/>
              </w:rPr>
              <w:t>Adj.R²</w:t>
            </w:r>
          </w:p>
        </w:tc>
        <w:tc>
          <w:tcPr>
            <w:tcW w:type="dxa" w:w="1170"/>
          </w:tcPr>
          <w:p>
            <w:pPr>
              <w:jc w:val="center"/>
            </w:pPr>
            <w:r/>
            <w:r>
              <w:rPr>
                <w:rFonts w:ascii="Times New Roman" w:hAnsi="Times New Roman"/>
                <w:b w:val="0"/>
                <w:sz w:val="14"/>
              </w:rPr>
              <w:t>0.0772</w:t>
            </w:r>
          </w:p>
        </w:tc>
        <w:tc>
          <w:tcPr>
            <w:tcW w:type="dxa" w:w="1170"/>
          </w:tcPr>
          <w:p>
            <w:pPr>
              <w:jc w:val="center"/>
            </w:pPr>
            <w:r/>
            <w:r>
              <w:rPr>
                <w:rFonts w:ascii="Times New Roman" w:hAnsi="Times New Roman"/>
                <w:b w:val="0"/>
                <w:sz w:val="14"/>
              </w:rPr>
              <w:t>0.1552</w:t>
            </w:r>
          </w:p>
        </w:tc>
        <w:tc>
          <w:tcPr>
            <w:tcW w:type="dxa" w:w="1170"/>
          </w:tcPr>
          <w:p>
            <w:pPr>
              <w:jc w:val="center"/>
            </w:pPr>
            <w:r/>
            <w:r>
              <w:rPr>
                <w:rFonts w:ascii="Times New Roman" w:hAnsi="Times New Roman"/>
                <w:b w:val="0"/>
                <w:sz w:val="14"/>
              </w:rPr>
              <w:t>0.1835</w:t>
            </w:r>
          </w:p>
        </w:tc>
        <w:tc>
          <w:tcPr>
            <w:tcW w:type="dxa" w:w="1170"/>
          </w:tcPr>
          <w:p>
            <w:pPr>
              <w:jc w:val="center"/>
            </w:pPr>
            <w:r/>
            <w:r>
              <w:rPr>
                <w:rFonts w:ascii="Times New Roman" w:hAnsi="Times New Roman"/>
                <w:b w:val="0"/>
                <w:sz w:val="14"/>
              </w:rPr>
              <w:t>0.1618</w:t>
            </w:r>
          </w:p>
        </w:tc>
        <w:tc>
          <w:tcPr>
            <w:tcW w:type="dxa" w:w="1170"/>
          </w:tcPr>
          <w:p>
            <w:pPr>
              <w:jc w:val="center"/>
            </w:pPr>
            <w:r/>
            <w:r>
              <w:rPr>
                <w:rFonts w:ascii="Times New Roman" w:hAnsi="Times New Roman"/>
                <w:b w:val="0"/>
                <w:sz w:val="14"/>
              </w:rPr>
              <w:t>0.1839</w:t>
            </w:r>
          </w:p>
        </w:tc>
        <w:tc>
          <w:tcPr>
            <w:tcW w:type="dxa" w:w="1170"/>
          </w:tcPr>
          <w:p>
            <w:pPr>
              <w:jc w:val="center"/>
            </w:pPr>
            <w:r/>
            <w:r>
              <w:rPr>
                <w:rFonts w:ascii="Times New Roman" w:hAnsi="Times New Roman"/>
                <w:b w:val="0"/>
                <w:sz w:val="14"/>
              </w:rPr>
              <w:t>0.1674</w:t>
            </w:r>
          </w:p>
        </w:tc>
        <w:tc>
          <w:tcPr>
            <w:tcW w:type="dxa" w:w="1170"/>
          </w:tcPr>
          <w:p>
            <w:pPr>
              <w:jc w:val="center"/>
            </w:pPr>
            <w:r/>
            <w:r>
              <w:rPr>
                <w:rFonts w:ascii="Times New Roman" w:hAnsi="Times New Roman"/>
                <w:b w:val="0"/>
                <w:sz w:val="14"/>
              </w:rPr>
              <w:t>0.1902</w:t>
            </w:r>
          </w:p>
        </w:tc>
      </w:tr>
    </w:tbl>
    <w:p>
      <w:r>
        <w:rPr>
          <w:sz w:val="14"/>
        </w:rPr>
        <w:t>*** p&lt;.001, ** p&lt;.01, * p&lt;.05, † p&lt;.10. TP=83%. LM p=.301. Joint F(2,607)=3.38, p=.035.</w:t>
      </w:r>
    </w:p>
    <w:p>
      <w:r>
        <w:rPr>
          <w:b/>
        </w:rPr>
        <w:t xml:space="preserve">Table 4. </w:t>
      </w:r>
      <w:r>
        <w:rPr>
          <w:sz w:val="18"/>
        </w:rPr>
        <w:t>Marginal effect of DAI across FSTS.</w:t>
      </w:r>
    </w:p>
    <w:tbl>
      <w:tblPr>
        <w:tblW w:type="auto" w:w="0"/>
        <w:tblLook w:firstColumn="1" w:firstRow="1" w:lastColumn="0" w:lastRow="0" w:noHBand="0" w:noVBand="1" w:val="04A0"/>
      </w:tblPr>
      <w:tblGrid>
        <w:gridCol w:w="2340"/>
        <w:gridCol w:w="2340"/>
        <w:gridCol w:w="2340"/>
        <w:gridCol w:w="2340"/>
      </w:tblGrid>
      <w:tr>
        <w:tc>
          <w:tcPr>
            <w:tcW w:type="dxa" w:w="2340"/>
          </w:tcPr>
          <w:p>
            <w:pPr>
              <w:jc w:val="center"/>
            </w:pPr>
            <w:r/>
            <w:r>
              <w:rPr>
                <w:rFonts w:ascii="Times New Roman" w:hAnsi="Times New Roman"/>
                <w:b/>
                <w:sz w:val="16"/>
              </w:rPr>
              <w:t>FSTS(%)</w:t>
            </w:r>
          </w:p>
        </w:tc>
        <w:tc>
          <w:tcPr>
            <w:tcW w:type="dxa" w:w="2340"/>
          </w:tcPr>
          <w:p>
            <w:pPr>
              <w:jc w:val="center"/>
            </w:pPr>
            <w:r/>
            <w:r>
              <w:rPr>
                <w:rFonts w:ascii="Times New Roman" w:hAnsi="Times New Roman"/>
                <w:b/>
                <w:sz w:val="16"/>
              </w:rPr>
              <w:t>ME</w:t>
            </w:r>
          </w:p>
        </w:tc>
        <w:tc>
          <w:tcPr>
            <w:tcW w:type="dxa" w:w="2340"/>
          </w:tcPr>
          <w:p>
            <w:pPr>
              <w:jc w:val="center"/>
            </w:pPr>
            <w:r/>
            <w:r>
              <w:rPr>
                <w:rFonts w:ascii="Times New Roman" w:hAnsi="Times New Roman"/>
                <w:b/>
                <w:sz w:val="16"/>
              </w:rPr>
              <w:t>95% CI</w:t>
            </w:r>
          </w:p>
        </w:tc>
        <w:tc>
          <w:tcPr>
            <w:tcW w:type="dxa" w:w="2340"/>
          </w:tcPr>
          <w:p>
            <w:pPr>
              <w:jc w:val="center"/>
            </w:pPr>
            <w:r/>
            <w:r>
              <w:rPr>
                <w:rFonts w:ascii="Times New Roman" w:hAnsi="Times New Roman"/>
                <w:b/>
                <w:sz w:val="16"/>
              </w:rPr>
              <w:t>p</w:t>
            </w:r>
          </w:p>
        </w:tc>
      </w:tr>
      <w:tr>
        <w:tc>
          <w:tcPr>
            <w:tcW w:type="dxa" w:w="2340"/>
          </w:tcPr>
          <w:p>
            <w:pPr>
              <w:jc w:val="center"/>
            </w:pPr>
            <w:r/>
            <w:r>
              <w:rPr>
                <w:rFonts w:ascii="Times New Roman" w:hAnsi="Times New Roman"/>
                <w:b w:val="0"/>
                <w:sz w:val="16"/>
              </w:rPr>
              <w:t>0</w:t>
            </w:r>
          </w:p>
        </w:tc>
        <w:tc>
          <w:tcPr>
            <w:tcW w:type="dxa" w:w="2340"/>
          </w:tcPr>
          <w:p>
            <w:pPr>
              <w:jc w:val="center"/>
            </w:pPr>
            <w:r/>
            <w:r>
              <w:rPr>
                <w:rFonts w:ascii="Times New Roman" w:hAnsi="Times New Roman"/>
                <w:b w:val="0"/>
                <w:sz w:val="16"/>
              </w:rPr>
              <w:t>0.073†</w:t>
            </w:r>
          </w:p>
        </w:tc>
        <w:tc>
          <w:tcPr>
            <w:tcW w:type="dxa" w:w="2340"/>
          </w:tcPr>
          <w:p>
            <w:pPr>
              <w:jc w:val="center"/>
            </w:pPr>
            <w:r/>
            <w:r>
              <w:rPr>
                <w:rFonts w:ascii="Times New Roman" w:hAnsi="Times New Roman"/>
                <w:b w:val="0"/>
                <w:sz w:val="14"/>
              </w:rPr>
              <w:t>[-0.00, 0.15]</w:t>
            </w:r>
          </w:p>
        </w:tc>
        <w:tc>
          <w:tcPr>
            <w:tcW w:type="dxa" w:w="2340"/>
          </w:tcPr>
          <w:p>
            <w:pPr>
              <w:jc w:val="center"/>
            </w:pPr>
            <w:r/>
            <w:r>
              <w:rPr>
                <w:rFonts w:ascii="Times New Roman" w:hAnsi="Times New Roman"/>
                <w:b w:val="0"/>
                <w:sz w:val="16"/>
              </w:rPr>
              <w:t>0.0643</w:t>
            </w:r>
          </w:p>
        </w:tc>
      </w:tr>
      <w:tr>
        <w:tc>
          <w:tcPr>
            <w:tcW w:type="dxa" w:w="2340"/>
          </w:tcPr>
          <w:p>
            <w:pPr>
              <w:jc w:val="center"/>
            </w:pPr>
            <w:r/>
            <w:r>
              <w:rPr>
                <w:rFonts w:ascii="Times New Roman" w:hAnsi="Times New Roman"/>
                <w:b w:val="0"/>
                <w:sz w:val="16"/>
              </w:rPr>
              <w:t>5</w:t>
            </w:r>
          </w:p>
        </w:tc>
        <w:tc>
          <w:tcPr>
            <w:tcW w:type="dxa" w:w="2340"/>
          </w:tcPr>
          <w:p>
            <w:pPr>
              <w:jc w:val="center"/>
            </w:pPr>
            <w:r/>
            <w:r>
              <w:rPr>
                <w:rFonts w:ascii="Times New Roman" w:hAnsi="Times New Roman"/>
                <w:b w:val="0"/>
                <w:sz w:val="16"/>
              </w:rPr>
              <w:t>0.017</w:t>
            </w:r>
          </w:p>
        </w:tc>
        <w:tc>
          <w:tcPr>
            <w:tcW w:type="dxa" w:w="2340"/>
          </w:tcPr>
          <w:p>
            <w:pPr>
              <w:jc w:val="center"/>
            </w:pPr>
            <w:r/>
            <w:r>
              <w:rPr>
                <w:rFonts w:ascii="Times New Roman" w:hAnsi="Times New Roman"/>
                <w:b w:val="0"/>
                <w:sz w:val="14"/>
              </w:rPr>
              <w:t>[-0.08, 0.12]</w:t>
            </w:r>
          </w:p>
        </w:tc>
        <w:tc>
          <w:tcPr>
            <w:tcW w:type="dxa" w:w="2340"/>
          </w:tcPr>
          <w:p>
            <w:pPr>
              <w:jc w:val="center"/>
            </w:pPr>
            <w:r/>
            <w:r>
              <w:rPr>
                <w:rFonts w:ascii="Times New Roman" w:hAnsi="Times New Roman"/>
                <w:b w:val="0"/>
                <w:sz w:val="16"/>
              </w:rPr>
              <w:t>0.7381</w:t>
            </w:r>
          </w:p>
        </w:tc>
      </w:tr>
      <w:tr>
        <w:tc>
          <w:tcPr>
            <w:tcW w:type="dxa" w:w="2340"/>
          </w:tcPr>
          <w:p>
            <w:pPr>
              <w:jc w:val="center"/>
            </w:pPr>
            <w:r/>
            <w:r>
              <w:rPr>
                <w:rFonts w:ascii="Times New Roman" w:hAnsi="Times New Roman"/>
                <w:b w:val="0"/>
                <w:sz w:val="16"/>
              </w:rPr>
              <w:t>10</w:t>
            </w:r>
          </w:p>
        </w:tc>
        <w:tc>
          <w:tcPr>
            <w:tcW w:type="dxa" w:w="2340"/>
          </w:tcPr>
          <w:p>
            <w:pPr>
              <w:jc w:val="center"/>
            </w:pPr>
            <w:r/>
            <w:r>
              <w:rPr>
                <w:rFonts w:ascii="Times New Roman" w:hAnsi="Times New Roman"/>
                <w:b w:val="0"/>
                <w:sz w:val="16"/>
              </w:rPr>
              <w:t>-0.024</w:t>
            </w:r>
          </w:p>
        </w:tc>
        <w:tc>
          <w:tcPr>
            <w:tcW w:type="dxa" w:w="2340"/>
          </w:tcPr>
          <w:p>
            <w:pPr>
              <w:jc w:val="center"/>
            </w:pPr>
            <w:r/>
            <w:r>
              <w:rPr>
                <w:rFonts w:ascii="Times New Roman" w:hAnsi="Times New Roman"/>
                <w:b w:val="0"/>
                <w:sz w:val="14"/>
              </w:rPr>
              <w:t>[-0.18, 0.13]</w:t>
            </w:r>
          </w:p>
        </w:tc>
        <w:tc>
          <w:tcPr>
            <w:tcW w:type="dxa" w:w="2340"/>
          </w:tcPr>
          <w:p>
            <w:pPr>
              <w:jc w:val="center"/>
            </w:pPr>
            <w:r/>
            <w:r>
              <w:rPr>
                <w:rFonts w:ascii="Times New Roman" w:hAnsi="Times New Roman"/>
                <w:b w:val="0"/>
                <w:sz w:val="16"/>
              </w:rPr>
              <w:t>0.7585</w:t>
            </w:r>
          </w:p>
        </w:tc>
      </w:tr>
      <w:tr>
        <w:tc>
          <w:tcPr>
            <w:tcW w:type="dxa" w:w="2340"/>
          </w:tcPr>
          <w:p>
            <w:pPr>
              <w:jc w:val="center"/>
            </w:pPr>
            <w:r/>
            <w:r>
              <w:rPr>
                <w:rFonts w:ascii="Times New Roman" w:hAnsi="Times New Roman"/>
                <w:b w:val="0"/>
                <w:sz w:val="16"/>
              </w:rPr>
              <w:t>15</w:t>
            </w:r>
          </w:p>
        </w:tc>
        <w:tc>
          <w:tcPr>
            <w:tcW w:type="dxa" w:w="2340"/>
          </w:tcPr>
          <w:p>
            <w:pPr>
              <w:jc w:val="center"/>
            </w:pPr>
            <w:r/>
            <w:r>
              <w:rPr>
                <w:rFonts w:ascii="Times New Roman" w:hAnsi="Times New Roman"/>
                <w:b w:val="0"/>
                <w:sz w:val="16"/>
              </w:rPr>
              <w:t>-0.050</w:t>
            </w:r>
          </w:p>
        </w:tc>
        <w:tc>
          <w:tcPr>
            <w:tcW w:type="dxa" w:w="2340"/>
          </w:tcPr>
          <w:p>
            <w:pPr>
              <w:jc w:val="center"/>
            </w:pPr>
            <w:r/>
            <w:r>
              <w:rPr>
                <w:rFonts w:ascii="Times New Roman" w:hAnsi="Times New Roman"/>
                <w:b w:val="0"/>
                <w:sz w:val="14"/>
              </w:rPr>
              <w:t>[-0.26, 0.16]</w:t>
            </w:r>
          </w:p>
        </w:tc>
        <w:tc>
          <w:tcPr>
            <w:tcW w:type="dxa" w:w="2340"/>
          </w:tcPr>
          <w:p>
            <w:pPr>
              <w:jc w:val="center"/>
            </w:pPr>
            <w:r/>
            <w:r>
              <w:rPr>
                <w:rFonts w:ascii="Times New Roman" w:hAnsi="Times New Roman"/>
                <w:b w:val="0"/>
                <w:sz w:val="16"/>
              </w:rPr>
              <w:t>0.6378</w:t>
            </w:r>
          </w:p>
        </w:tc>
      </w:tr>
      <w:tr>
        <w:tc>
          <w:tcPr>
            <w:tcW w:type="dxa" w:w="2340"/>
          </w:tcPr>
          <w:p>
            <w:pPr>
              <w:jc w:val="center"/>
            </w:pPr>
            <w:r/>
            <w:r>
              <w:rPr>
                <w:rFonts w:ascii="Times New Roman" w:hAnsi="Times New Roman"/>
                <w:b w:val="0"/>
                <w:sz w:val="16"/>
              </w:rPr>
              <w:t>20</w:t>
            </w:r>
          </w:p>
        </w:tc>
        <w:tc>
          <w:tcPr>
            <w:tcW w:type="dxa" w:w="2340"/>
          </w:tcPr>
          <w:p>
            <w:pPr>
              <w:jc w:val="center"/>
            </w:pPr>
            <w:r/>
            <w:r>
              <w:rPr>
                <w:rFonts w:ascii="Times New Roman" w:hAnsi="Times New Roman"/>
                <w:b w:val="0"/>
                <w:sz w:val="16"/>
              </w:rPr>
              <w:t>-0.061</w:t>
            </w:r>
          </w:p>
        </w:tc>
        <w:tc>
          <w:tcPr>
            <w:tcW w:type="dxa" w:w="2340"/>
          </w:tcPr>
          <w:p>
            <w:pPr>
              <w:jc w:val="center"/>
            </w:pPr>
            <w:r/>
            <w:r>
              <w:rPr>
                <w:rFonts w:ascii="Times New Roman" w:hAnsi="Times New Roman"/>
                <w:b w:val="0"/>
                <w:sz w:val="14"/>
              </w:rPr>
              <w:t>[-0.32, 0.20]</w:t>
            </w:r>
          </w:p>
        </w:tc>
        <w:tc>
          <w:tcPr>
            <w:tcW w:type="dxa" w:w="2340"/>
          </w:tcPr>
          <w:p>
            <w:pPr>
              <w:jc w:val="center"/>
            </w:pPr>
            <w:r/>
            <w:r>
              <w:rPr>
                <w:rFonts w:ascii="Times New Roman" w:hAnsi="Times New Roman"/>
                <w:b w:val="0"/>
                <w:sz w:val="16"/>
              </w:rPr>
              <w:t>0.6410</w:t>
            </w:r>
          </w:p>
        </w:tc>
      </w:tr>
      <w:tr>
        <w:tc>
          <w:tcPr>
            <w:tcW w:type="dxa" w:w="2340"/>
          </w:tcPr>
          <w:p>
            <w:pPr>
              <w:jc w:val="center"/>
            </w:pPr>
            <w:r/>
            <w:r>
              <w:rPr>
                <w:rFonts w:ascii="Times New Roman" w:hAnsi="Times New Roman"/>
                <w:b w:val="0"/>
                <w:sz w:val="16"/>
              </w:rPr>
              <w:t>30</w:t>
            </w:r>
          </w:p>
        </w:tc>
        <w:tc>
          <w:tcPr>
            <w:tcW w:type="dxa" w:w="2340"/>
          </w:tcPr>
          <w:p>
            <w:pPr>
              <w:jc w:val="center"/>
            </w:pPr>
            <w:r/>
            <w:r>
              <w:rPr>
                <w:rFonts w:ascii="Times New Roman" w:hAnsi="Times New Roman"/>
                <w:b w:val="0"/>
                <w:sz w:val="16"/>
              </w:rPr>
              <w:t>-0.038</w:t>
            </w:r>
          </w:p>
        </w:tc>
        <w:tc>
          <w:tcPr>
            <w:tcW w:type="dxa" w:w="2340"/>
          </w:tcPr>
          <w:p>
            <w:pPr>
              <w:jc w:val="center"/>
            </w:pPr>
            <w:r/>
            <w:r>
              <w:rPr>
                <w:rFonts w:ascii="Times New Roman" w:hAnsi="Times New Roman"/>
                <w:b w:val="0"/>
                <w:sz w:val="14"/>
              </w:rPr>
              <w:t>[-0.37, 0.30]</w:t>
            </w:r>
          </w:p>
        </w:tc>
        <w:tc>
          <w:tcPr>
            <w:tcW w:type="dxa" w:w="2340"/>
          </w:tcPr>
          <w:p>
            <w:pPr>
              <w:jc w:val="center"/>
            </w:pPr>
            <w:r/>
            <w:r>
              <w:rPr>
                <w:rFonts w:ascii="Times New Roman" w:hAnsi="Times New Roman"/>
                <w:b w:val="0"/>
                <w:sz w:val="16"/>
              </w:rPr>
              <w:t>0.8226</w:t>
            </w:r>
          </w:p>
        </w:tc>
      </w:tr>
      <w:tr>
        <w:tc>
          <w:tcPr>
            <w:tcW w:type="dxa" w:w="2340"/>
          </w:tcPr>
          <w:p>
            <w:pPr>
              <w:jc w:val="center"/>
            </w:pPr>
            <w:r/>
            <w:r>
              <w:rPr>
                <w:rFonts w:ascii="Times New Roman" w:hAnsi="Times New Roman"/>
                <w:b w:val="0"/>
                <w:sz w:val="16"/>
              </w:rPr>
              <w:t>50</w:t>
            </w:r>
          </w:p>
        </w:tc>
        <w:tc>
          <w:tcPr>
            <w:tcW w:type="dxa" w:w="2340"/>
          </w:tcPr>
          <w:p>
            <w:pPr>
              <w:jc w:val="center"/>
            </w:pPr>
            <w:r/>
            <w:r>
              <w:rPr>
                <w:rFonts w:ascii="Times New Roman" w:hAnsi="Times New Roman"/>
                <w:b w:val="0"/>
                <w:sz w:val="16"/>
              </w:rPr>
              <w:t>0.190</w:t>
            </w:r>
          </w:p>
        </w:tc>
        <w:tc>
          <w:tcPr>
            <w:tcW w:type="dxa" w:w="2340"/>
          </w:tcPr>
          <w:p>
            <w:pPr>
              <w:jc w:val="center"/>
            </w:pPr>
            <w:r/>
            <w:r>
              <w:rPr>
                <w:rFonts w:ascii="Times New Roman" w:hAnsi="Times New Roman"/>
                <w:b w:val="0"/>
                <w:sz w:val="14"/>
              </w:rPr>
              <w:t>[-0.25, 0.63]</w:t>
            </w:r>
          </w:p>
        </w:tc>
        <w:tc>
          <w:tcPr>
            <w:tcW w:type="dxa" w:w="2340"/>
          </w:tcPr>
          <w:p>
            <w:pPr>
              <w:jc w:val="center"/>
            </w:pPr>
            <w:r/>
            <w:r>
              <w:rPr>
                <w:rFonts w:ascii="Times New Roman" w:hAnsi="Times New Roman"/>
                <w:b w:val="0"/>
                <w:sz w:val="16"/>
              </w:rPr>
              <w:t>0.3959</w:t>
            </w:r>
          </w:p>
        </w:tc>
      </w:tr>
      <w:tr>
        <w:tc>
          <w:tcPr>
            <w:tcW w:type="dxa" w:w="2340"/>
          </w:tcPr>
          <w:p>
            <w:pPr>
              <w:jc w:val="center"/>
            </w:pPr>
            <w:r/>
            <w:r>
              <w:rPr>
                <w:rFonts w:ascii="Times New Roman" w:hAnsi="Times New Roman"/>
                <w:b w:val="0"/>
                <w:sz w:val="16"/>
              </w:rPr>
              <w:t>70</w:t>
            </w:r>
          </w:p>
        </w:tc>
        <w:tc>
          <w:tcPr>
            <w:tcW w:type="dxa" w:w="2340"/>
          </w:tcPr>
          <w:p>
            <w:pPr>
              <w:jc w:val="center"/>
            </w:pPr>
            <w:r/>
            <w:r>
              <w:rPr>
                <w:rFonts w:ascii="Times New Roman" w:hAnsi="Times New Roman"/>
                <w:b w:val="0"/>
                <w:sz w:val="16"/>
              </w:rPr>
              <w:t>0.660*</w:t>
            </w:r>
          </w:p>
        </w:tc>
        <w:tc>
          <w:tcPr>
            <w:tcW w:type="dxa" w:w="2340"/>
          </w:tcPr>
          <w:p>
            <w:pPr>
              <w:jc w:val="center"/>
            </w:pPr>
            <w:r/>
            <w:r>
              <w:rPr>
                <w:rFonts w:ascii="Times New Roman" w:hAnsi="Times New Roman"/>
                <w:b w:val="0"/>
                <w:sz w:val="14"/>
              </w:rPr>
              <w:t>[0.03, 1.29]</w:t>
            </w:r>
          </w:p>
        </w:tc>
        <w:tc>
          <w:tcPr>
            <w:tcW w:type="dxa" w:w="2340"/>
          </w:tcPr>
          <w:p>
            <w:pPr>
              <w:jc w:val="center"/>
            </w:pPr>
            <w:r/>
            <w:r>
              <w:rPr>
                <w:rFonts w:ascii="Times New Roman" w:hAnsi="Times New Roman"/>
                <w:b w:val="0"/>
                <w:sz w:val="16"/>
              </w:rPr>
              <w:t>0.0410</w:t>
            </w:r>
          </w:p>
        </w:tc>
      </w:tr>
      <w:tr>
        <w:tc>
          <w:tcPr>
            <w:tcW w:type="dxa" w:w="2340"/>
          </w:tcPr>
          <w:p>
            <w:pPr>
              <w:jc w:val="center"/>
            </w:pPr>
            <w:r/>
            <w:r>
              <w:rPr>
                <w:rFonts w:ascii="Times New Roman" w:hAnsi="Times New Roman"/>
                <w:b w:val="0"/>
                <w:sz w:val="16"/>
              </w:rPr>
              <w:t>100</w:t>
            </w:r>
          </w:p>
        </w:tc>
        <w:tc>
          <w:tcPr>
            <w:tcW w:type="dxa" w:w="2340"/>
          </w:tcPr>
          <w:p>
            <w:pPr>
              <w:jc w:val="center"/>
            </w:pPr>
            <w:r/>
            <w:r>
              <w:rPr>
                <w:rFonts w:ascii="Times New Roman" w:hAnsi="Times New Roman"/>
                <w:b w:val="0"/>
                <w:sz w:val="16"/>
              </w:rPr>
              <w:t>1.818**</w:t>
            </w:r>
          </w:p>
        </w:tc>
        <w:tc>
          <w:tcPr>
            <w:tcW w:type="dxa" w:w="2340"/>
          </w:tcPr>
          <w:p>
            <w:pPr>
              <w:jc w:val="center"/>
            </w:pPr>
            <w:r/>
            <w:r>
              <w:rPr>
                <w:rFonts w:ascii="Times New Roman" w:hAnsi="Times New Roman"/>
                <w:b w:val="0"/>
                <w:sz w:val="14"/>
              </w:rPr>
              <w:t>[0.46, 3.18]</w:t>
            </w:r>
          </w:p>
        </w:tc>
        <w:tc>
          <w:tcPr>
            <w:tcW w:type="dxa" w:w="2340"/>
          </w:tcPr>
          <w:p>
            <w:pPr>
              <w:jc w:val="center"/>
            </w:pPr>
            <w:r/>
            <w:r>
              <w:rPr>
                <w:rFonts w:ascii="Times New Roman" w:hAnsi="Times New Roman"/>
                <w:b w:val="0"/>
                <w:sz w:val="16"/>
              </w:rPr>
              <w:t>0.0091</w:t>
            </w:r>
          </w:p>
        </w:tc>
      </w:tr>
    </w:tbl>
    <w:p>
      <w:r>
        <w:drawing>
          <wp:inline xmlns:a="http://schemas.openxmlformats.org/drawingml/2006/main" xmlns:pic="http://schemas.openxmlformats.org/drawingml/2006/picture">
            <wp:extent cx="4572000" cy="3224044"/>
            <wp:docPr id="2" name="Picture 2"/>
            <wp:cNvGraphicFramePr>
              <a:graphicFrameLocks noChangeAspect="1"/>
            </wp:cNvGraphicFramePr>
            <a:graphic>
              <a:graphicData uri="http://schemas.openxmlformats.org/drawingml/2006/picture">
                <pic:pic>
                  <pic:nvPicPr>
                    <pic:cNvPr id="0" name="Figure2_IP_Curve.png"/>
                    <pic:cNvPicPr/>
                  </pic:nvPicPr>
                  <pic:blipFill>
                    <a:blip r:embed="rId9"/>
                    <a:stretch>
                      <a:fillRect/>
                    </a:stretch>
                  </pic:blipFill>
                  <pic:spPr>
                    <a:xfrm>
                      <a:off x="0" y="0"/>
                      <a:ext cx="4572000" cy="3224044"/>
                    </a:xfrm>
                    <a:prstGeom prst="rect"/>
                  </pic:spPr>
                </pic:pic>
              </a:graphicData>
            </a:graphic>
          </wp:inline>
        </w:drawing>
      </w:r>
    </w:p>
    <w:p>
      <w:r>
        <w:rPr>
          <w:b/>
        </w:rPr>
        <w:t xml:space="preserve">Figure 2. </w:t>
      </w:r>
      <w:r>
        <w:rPr>
          <w:sz w:val="16"/>
        </w:rPr>
        <w:t>I-P curve. TP = 83%. N = 623. Move this to §4.2.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P3 v5 — MIR Submission Package (Revised)</dc:title>
  <dc:creator>Đỗ Thùy Hương</dc:creator>
  <cp:lastModifiedBy>Un-named</cp:lastModifiedBy>
  <cp:revision>1</cp:revision>
  <dcterms:created xsi:type="dcterms:W3CDTF">2026-04-28T07:00:12.299Z</dcterms:created>
  <dcterms:modified xsi:type="dcterms:W3CDTF">2026-04-28T07:00:12.300Z</dcterms:modified>
</cp:coreProperties>
</file>

<file path=docProps/custom.xml><?xml version="1.0" encoding="utf-8"?>
<Properties xmlns="http://schemas.openxmlformats.org/officeDocument/2006/custom-properties" xmlns:vt="http://schemas.openxmlformats.org/officeDocument/2006/docPropsVTypes"/>
</file>