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Revisiting the Internationalisation–Performance Relationship in an Emerging Market: The Roles of Technological Capability and Digital Adoption</w:t>
      </w:r>
    </w:p>
    <w:p>
      <w:pPr>
        <w:pStyle w:val="Subtitle"/>
      </w:pPr>
      <w:r>
        <w:t>v5.3 — IJoEM blinded manuscript (Vietnam 2009/2015/2023)</w:t>
      </w:r>
    </w:p>
    <w:p>
      <w:pPr>
        <w:pStyle w:val="Date"/>
      </w:pPr>
      <w:r>
        <w:t>2026-05-02</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Purpose — This study revisits the internationalisation–performance relationship in an emerging market and examines how technological capability and digital adoption shape firms’ productivity outcomes under conditions of institutional and digital transition. Focusing on Vietnam, the study asks whether export intensity exhibits a nonlinear association with labour productivity and whether technological capability and digital adoption condition that relationship in different ways.</w:t>
      </w:r>
    </w:p>
    <w:p>
      <w:pPr>
        <w:pStyle w:val="BodyText"/>
      </w:pPr>
      <w:r>
        <w:t>Design/methodology/approach — The study uses three waves of World Bank Enterprise Survey microdata for Vietnam (2009, 2015 and 2023; analytic N = 989, 956 and 1,013, pooled 2,958) and estimates ordinary least squares models with HC1 robust standard errors, quadratic export-intensity terms and interaction specifications. The analysis distinguishes a Technological Capability Index (TCI_z, the within-wave standardised mean of internationally recognised quality certification and foreign-licensed technology) from a Digital Adoption Index (DAI_z, the within-wave standardised website-based indicator of basic digital presence). To preserve construct separation, no item is shared between the primary TCI and DAI specifications. Lind–Mehlum (Lind and Mehlum, 2010) curvature tests, Heckman two-step and control-function selection corrections, Paternoster (1998) cross-wave z-tests and richer measurement panels (TCI_full, DAI_rich, micro-firm exclusion, common-N) complement the baseline.</w:t>
      </w:r>
    </w:p>
    <w:p>
      <w:pPr>
        <w:pStyle w:val="BodyText"/>
      </w:pPr>
      <w:r>
        <w:t>Findings — The internationalisation–performance relationship is robustly nonlinear: the Lind–Mehlum test rejects monotonicity in all three waves (2009 p = .006, 2015 p = .009, 2023 p = .013) and in the pooled sample (p &lt; .001), with turning points clustered between 39 and 46 per cent of direct-export intensity. Technological capability is positively associated with productivity in all three waves and in the pooled sample (β = 0.215, 0.128, 0.123 and 0.179, all p ≤ .010), and moderates the curvature in three of four panels (M3 joint p = .040, .713, .027 and .003). Digital adoption is positive in 2009 (β = 0.175, p &lt; .001), null in 2015 (β = −0.044, p = .377), positive in 2023 (β = 0.095, p = .038) and positive in the pooled sample (β = 0.078, p = .004); its moderation channel emerges most clearly in 2023 (FSTS_c × DAI_z = −0.912, p = .043; M8 joint p = .062, marginal). Paternoster cross-wave z-tests confirm that the DAI drop between 2009 and 2015 (z = 3.353, p &lt; .001) and the DAI re-emergence between 2015 and 2023 (z = −2.051, p = .040) are statistically distinguishable shifts.</w:t>
      </w:r>
    </w:p>
    <w:p>
      <w:pPr>
        <w:pStyle w:val="BodyText"/>
      </w:pPr>
      <w:r>
        <w:t>Originality/value — The study contributes to research on emerging markets by showing that the productivity returns to internationalisation depend not only on export intensity but also on how firms combine deeper capability accumulation with basic digital adoption under transitional institutional conditions. It also offers a cleaner measurement strategy by separating technological capability from a harmonised website-based digital-adoption proxy with no shared items, and shows that the sign of digital moderation is not theoretically fixed but contingent on the stage of digital transition.</w:t>
      </w:r>
    </w:p>
    <w:p>
      <w:pPr>
        <w:pStyle w:val="BodyText"/>
      </w:pPr>
      <w:r>
        <w:t>Keywords: internationalisation–performance; emerging markets; digital adoption; technological capability; Vietnam; firm productivity.</w:t>
      </w:r>
    </w:p>
    <w:p>
      <w:pPr>
        <w:pStyle w:val="BodyText"/>
      </w:pPr>
      <w:r>
        <w:t>JEL classification: F23 (multinational firms; international business); O33 (technological change: choices and consequences); D22 (firm behaviour: empirical analysis); L25 (firm performance); O53 (economywide country studies — Asia).</w:t>
      </w:r>
    </w:p>
    <w:p>
      <w:pPr>
        <w:pStyle w:val="BodyText"/>
      </w:pPr>
      <w:r>
        <w:t>Paper type: Research paper.</w:t>
      </w:r>
    </w:p>
    <w:p>
      <w:pPr>
        <w:pStyle w:val="Heading1"/>
      </w:pPr>
      <w:r>
        <w:t>Highlights</w:t>
      </w:r>
    </w:p>
    <w:p>
      <w:pPr>
        <w:pStyle w:val="FirstParagraph"/>
      </w:pPr>
      <w:r>
        <w:t>• The internationalisation–performance relationship in Vietnamese firms is robustly nonlinear: the Lind–Mehlum test rejects monotonicity in all three waves (2009 p = .006, 2015 p = .009, 2023 p = .013) and in the pooled sample (p &lt; .001), with turning points clustered between 39 and 46 % of direct-export intensity.</w:t>
      </w:r>
    </w:p>
    <w:p>
      <w:pPr>
        <w:pStyle w:val="BodyText"/>
      </w:pPr>
      <w:r>
        <w:t>• Technological capability and digital adoption are separated as non-overlapping primary measures: TCI_z is the within-wave standardised mean of quality certification and foreign-licensed technology, whereas DAI_z is the within-wave standardised website-based digital-presence indicator.</w:t>
      </w:r>
    </w:p>
    <w:p>
      <w:pPr>
        <w:pStyle w:val="BodyText"/>
      </w:pPr>
      <w:r>
        <w:t>• TCI_z is positively associated with productivity in all three waves (β = 0.215, 0.128, 0.123) and pooled (β = 0.179, p &lt; .001), and moderates the curvature in three of four panels (M3 joint p = .040, .713, .027 and .003).</w:t>
      </w:r>
    </w:p>
    <w:p>
      <w:pPr>
        <w:pStyle w:val="BodyText"/>
      </w:pPr>
      <w:r>
        <w:t>• DAI_z is strongest in 2009 (β = 0.175, p &lt; .001), null in 2015 (β = −0.044, p = .377), positive in 2023 (β = 0.095, p = .038) and pooled (β = 0.078, p = .004); the cross-wave shifts are statistically distinguishable (Paternoster z = 3.353 between 2009 and 2015; z = −2.051 between 2015 and 2023).</w:t>
      </w:r>
    </w:p>
    <w:p>
      <w:pPr>
        <w:pStyle w:val="BodyText"/>
      </w:pPr>
      <w:r>
        <w:t>• DAI moderation is concentrated in 2023, where FSTS_c × DAI_z = −0.912 (p = .043) and the M8 joint test is marginal (p = .062); the pooled M8 joint test is also marginal (p = .083), driven by 2023 rather than by a stable cross-period moderation.</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 (Cuervo-Cazurra and Genc, 2008; Wright et al., 2005).</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(Vernon, 1979; Lu and Beamish, 2004; Hennart, 2007;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and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(Hennart, 2007; Wagner, 2007;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and adapt routines under changing conditions (Cohen and Levinthal, 1990; Lall, 1992; Helfat and Peteraf, 2003; Teece, 2007).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and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(World Bank, 2010, 2016, 2024).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and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 quality certification) and e6 (foreign-licensed technology), each recoded from WBES 1/2 to 1/0 binary form. The primary Digital Adoption Index (DAI_z) is the within-wave standardised website-presence indicator c22b, recoded from 1/2 to 1/0. Under this revised primary specification, no item is shared between the TCI and DAI composites — e6 belongs exclusively to the capability construct, while c22b alone serves as a harmonised cross-wave proxy for basic digital presence. Cross-wave-comparable transaction-level digital items are absent from the 2009 and 2015 instruments, so DAI_z should be interpreted as a Tier 1–2 digital-adoption measure rather than as a fully integrated digital-capability construct (Bharadwaj et al., 2013; Verhoef et al., 2021).</w:t>
      </w:r>
    </w:p>
    <w:p>
      <w:pPr>
        <w:pStyle w:val="BodyText"/>
      </w:pPr>
      <w:r>
        <w:t>Two enriched composites are used in the §4.5 robustness panel where item availability allows. TCI_full adds h1 (introduced new or significantly improved product) and h8 (R&amp;D expenditure indicator) to the TCI items in 2015 and 2023, where h1 and h8 are present. DAI_rich, constructed only for 2023, extends the website-presence indicator with k33 (share of sales received via electronic payment) and k38 (share of supplier payments made via electronic payment), in both continuous (k33 / 100, k38 / 100) and binary (k33 &gt; 0, k38 &gt; 0) variants. DAI_rich thus moves from basic digital presence toward a transaction-enabling digital-adoption construct, but it is treated as a measurement-depth robustness check rather than as the primary specification because k33 and k38 are unavailable in the 2009 and 2015 waves.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 (Antonakis et al., 2010; Wooldridge, 2010).</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20.7 % in 2015 to 18.8 % in 2023, reflecting the rebalancing of the Vietnamese exporter cohort away from labour-intensive manufacturing toward services and FDI-linked supply-chain firms during the observation window. The within-wave mean of basic digital adoption (c22b website indicator) rises from 0.425 in 2009 to 0.483 in 2015 and 0.498 in 2023, indicating broad diffusion of basic digital presence across the Vietnamese firm population over the 14-year window.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 (c22b — own website, recoded)</w:t>
            </w:r>
          </w:p>
        </w:tc>
        <w:tc>
          <w:tcPr>
            <w:tcW w:type="dxa" w:w="1872"/>
          </w:tcPr>
          <w:p>
            <w:r>
              <w:t>0.425 (0.495)</w:t>
            </w:r>
          </w:p>
        </w:tc>
        <w:tc>
          <w:tcPr>
            <w:tcW w:type="dxa" w:w="1872"/>
          </w:tcPr>
          <w:p>
            <w:r>
              <w:t>0.483 (0.500)</w:t>
            </w:r>
          </w:p>
        </w:tc>
        <w:tc>
          <w:tcPr>
            <w:tcW w:type="dxa" w:w="1872"/>
          </w:tcPr>
          <w:p>
            <w:r>
              <w:t>0.498 (0.500)</w:t>
            </w:r>
          </w:p>
        </w:tc>
        <w:tc>
          <w:tcPr>
            <w:tcW w:type="dxa" w:w="1872"/>
          </w:tcPr>
          <w:p>
            <w:r>
              <w:t>0.469 (0.499)</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displays a clearly nonlinear internationalisation–performance relationship together with strong direct capability and digital-adoption effects. The inverted-U specification (M2) yields a positive linear term (β = 1.045, p = .015) and a negative quadratic term (β = −1.774, p = .009); the Lind–Mehlum test rejects monotonicity at p = .006. In the dual-direct specification (M7) both TCI_z (β = 0.215, p &lt; .001) and DAI_z (β = 0.175, p &lt; .001) are positive and highly significant. TCI moderation is statistically distinguishable from zero (M3 joint p = .040; FSTS_c × TCI_z = −0.579, p = .087), but DAI moderation is not (M4 joint p = .825; full-model M8 joint p = .700). In substantive terms, both capability dimensions in 2009 operate primarily as direct level-shifters; the marginal coordination cost that bends the I–P curve is associated with technological capability rather than with basic digital presence.</w:t>
      </w:r>
    </w:p>
    <w:p>
      <w:pPr>
        <w:pStyle w:val="BodyText"/>
      </w:pPr>
      <w:r>
        <w:t>The 2015 wave shows the curvature cleanly but the weakest digital channel. M2 produces FSTS_c β = 1.159 (p = .029) and FSTS_c² β = −2.115 (p = .004), with Lind–Mehlum p = .009. TCI_z retains a positive direct association (β = 0.128, p = .010) but at roughly 60 per cent of the 2009 magnitude. DAI_z loses direct salience entirely (β = −0.044, p = .377). TCI moderation is null in this wave (M3 joint p = .713), and DAI moderation is at best marginal (M4 joint p = .125; M8 joint p = .093). Read as a phase characterisation, 2015 looks like a wave in which the I–P curvature is unusually sharp while the digital channel compresses entirely — consistent with the productivity J-curve account in which firms invest in basic digital tools before complementary organisational adjustments produce measurable productivity gains (Brynjolfsson et al., 2021).</w:t>
      </w:r>
    </w:p>
    <w:p>
      <w:pPr>
        <w:pStyle w:val="BodyText"/>
      </w:pPr>
      <w:r>
        <w:t>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and marginal (FSTS_c² × DAI_z = 1.043, p = .099), and the joint test sits at marginal significance (M4 joint p = .102; M8 joint p = .062). The substantive reading is that, by 2023, basic digital adoption becomes more conditional on export intensity: as exporters move beyond moderate FSTS levels, the productivity contribution of basic digital presence attenuates and may amplify rather than relieve coordination burdens, consistent with the view that website-level adoption alone is insufficient when deeper transaction-enabling and process-integrating digital capability is still maturing.</w:t>
      </w:r>
    </w:p>
    <w:p>
      <w:pPr>
        <w:pStyle w:val="BodyText"/>
      </w:pPr>
      <w:r>
        <w:t>Taken together, the wave-specific results trace two distinct lifecycle trajectories. Technological capability is positive across all three waves with a modestly attenuating magnitude (TCI_z = 0.215 → 0.128 → 0.123) but with moderation that survives in the 2009, 2023 and pooled panels. Digital adoption follows a non-monotonic trajectory — strong in 2009 (β = 0.175 ***), null in 2015 (β = −0.044 n.s.), and re-emerging in 2023 (β = 0.095 *) — and its moderation channel materialises only in 2023. The Paternoster cross-wave z-tests reported in §4.5 confirm that the 2009-to-2015 fall in DAI (z = 3.353, p &lt; .001) and the 2015-to-2023 recovery (z = −2.051, p = .040) are both statistically distinguishable shifts, supporting the lifecycle reading rather than treating the wave-specific pattern as sampling noise.</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The curvature persists in the full M8 specification (FSTS_c β = 0.845, p = .006; FSTS_c² β = −1.650, p &lt; .001), supporting H1 and aligning with the meta-analytic evidence on the nonlinear shape of internationalisation returns in emerging-market firms (Marano et al., 2016).</w:t>
      </w:r>
    </w:p>
    <w:p>
      <w:pPr>
        <w:pStyle w:val="BodyText"/>
      </w:pPr>
      <w:r>
        <w:t>The pooled evidence shows that both technological capability and basic digital adoption are positively associated with firm performance on average. In the pooled M7 dual-direct specification, TCI_z is positive and highly significant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 This sensitivity is consistent with the interpretation that DAI_z combines a positive level effect with a negative interaction with FSTS_c at higher export intensities — precisely the pattern documented in §4.1 for the 2023 wave.</w:t>
      </w:r>
    </w:p>
    <w:p>
      <w:pPr>
        <w:pStyle w:val="BodyText"/>
      </w:pPr>
      <w:r>
        <w:t>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sits at marginal significance (M8 joint p = .083). This pooled signal is driven primarily by the 2023 wave: the M4 joint moderation test on DAI is null in 2009 (p = .825) and 2015 (p = .125), and reaches marginal significance only in 2023 (M4 joint p = .102; M8 joint p = .062). Pooled estimates therefore understate the timing of the DAI moderation channel: the channel is concentrated in the most recent wave rather than uniformly distributed across the 2009–2023 window.</w:t>
      </w:r>
    </w:p>
    <w:p>
      <w:pPr>
        <w:pStyle w:val="BodyText"/>
      </w:pPr>
      <w:r>
        <w:t>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 inverted-U flattens for high-capability firms rather than shifting in level. This is consistent with the absorptive-capacity reading in which firms with deeper capability stocks extract productivity gains across a wider range of export intensities than less capable peers (Cohen and Levinthal, 1990; Lall, 1992).</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.013) and in the pooled sample (p &lt; .001), and the implied turning points are tightly clustered between 39.3 per cent (2015) and 46.2 per cent (2009) of direct-export intensity, with the pooled estimate at 39.7 per cent. 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H3 is supported on average: the pooled M7 estimate of DAI_z is positive and significant (β = 0.078, p = .004), but DAI_z varies sharply across waves — strong in 2009 (β = 0.175, p &lt; .001), null in 2015 (β = −0.044, p = .377) and positive in 2023 (β = 0.095, p = .038). The Paternoster cross-wave z-tests (§4.5, Panel F) confirm that the 2009-to-2015 fall (z = 3.353, p &lt; .001) and the 2015-to-2023 recovery (z = −2.051, p = .040) are both statistically distinguishable shifts.</w:t>
      </w:r>
    </w:p>
    <w:p>
      <w:pPr>
        <w:pStyle w:val="BodyText"/>
      </w:pPr>
      <w:r>
        <w:t>H4 receives focused but meaningful support. The DAI joint moderation test is null in 2009 (M4 p = .825) and only marginal in 2015 (M4 p = .125). It reaches its strongest expression in 2023, where the individual interaction FSTS_c × DAI_z = −0.912 (p = .043) is statistically distinguishable from zero and the joint test is at the edge of conventional significance (M4 p = .102; M8 p = .062). The pooled M8 joint test (p = .083) is also at marginal significance, driven by the 2023 wave rather than by a stable cross-period moderation. The substantive reading is that the conditional digital channel materialises only when the institutional and digital environment is sufficiently mature for basic adoption to interact with cross-border coordination demands.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 TP = 46.2 %</w:t>
            </w:r>
          </w:p>
        </w:tc>
        <w:tc>
          <w:tcPr>
            <w:tcW w:type="dxa" w:w="1872"/>
          </w:tcPr>
          <w:p>
            <w:r>
              <w:t>0.215 *** (M7)</w:t>
            </w:r>
          </w:p>
        </w:tc>
        <w:tc>
          <w:tcPr>
            <w:tcW w:type="dxa" w:w="1872"/>
          </w:tcPr>
          <w:p>
            <w:r>
              <w:t>0.175 *** (M7)</w:t>
            </w:r>
          </w:p>
        </w:tc>
        <w:tc>
          <w:tcPr>
            <w:tcW w:type="dxa" w:w="1872"/>
          </w:tcPr>
          <w:p>
            <w:r>
              <w:t>M4 joint p = .825 n.s.; M8 joint p = .700 n.s.</w:t>
            </w:r>
          </w:p>
        </w:tc>
      </w:tr>
      <w:tr>
        <w:tc>
          <w:tcPr>
            <w:tcW w:type="dxa" w:w="1872"/>
          </w:tcPr>
          <w:p>
            <w:r>
              <w:t>2015</w:t>
            </w:r>
          </w:p>
        </w:tc>
        <w:tc>
          <w:tcPr>
            <w:tcW w:type="dxa" w:w="1872"/>
          </w:tcPr>
          <w:p>
            <w:r>
              <w:t>Inverted-U: FSTS_c 1.159* / FSTS_c² −2.115**; LM p = .009; TP = 39.3 %</w:t>
            </w:r>
          </w:p>
        </w:tc>
        <w:tc>
          <w:tcPr>
            <w:tcW w:type="dxa" w:w="1872"/>
          </w:tcPr>
          <w:p>
            <w:r>
              <w:t>0.128 * (M7)</w:t>
            </w:r>
          </w:p>
        </w:tc>
        <w:tc>
          <w:tcPr>
            <w:tcW w:type="dxa" w:w="1872"/>
          </w:tcPr>
          <w:p>
            <w:r>
              <w:t>−0.044 (p = .377) n.s.</w:t>
            </w:r>
          </w:p>
        </w:tc>
        <w:tc>
          <w:tcPr>
            <w:tcW w:type="dxa" w:w="1872"/>
          </w:tcPr>
          <w:p>
            <w:r>
              <w:t>M4 joint p = .125 n.s.; M8 joint p = .093 †</w:t>
            </w:r>
          </w:p>
        </w:tc>
      </w:tr>
      <w:tr>
        <w:tc>
          <w:tcPr>
            <w:tcW w:type="dxa" w:w="1872"/>
          </w:tcPr>
          <w:p>
            <w:r>
              <w:t>2023</w:t>
            </w:r>
          </w:p>
        </w:tc>
        <w:tc>
          <w:tcPr>
            <w:tcW w:type="dxa" w:w="1872"/>
          </w:tcPr>
          <w:p>
            <w:r>
              <w:t>Inverted-U: FSTS_c 0.962* / FSTS_c² −1.686**; LM p = .013; TP = 41.6 %</w:t>
            </w:r>
          </w:p>
        </w:tc>
        <w:tc>
          <w:tcPr>
            <w:tcW w:type="dxa" w:w="1872"/>
          </w:tcPr>
          <w:p>
            <w:r>
              <w:t>0.123 ** (M7)</w:t>
            </w:r>
          </w:p>
        </w:tc>
        <w:tc>
          <w:tcPr>
            <w:tcW w:type="dxa" w:w="1872"/>
          </w:tcPr>
          <w:p>
            <w:r>
              <w:t>0.095 * (M7)</w:t>
            </w:r>
          </w:p>
        </w:tc>
        <w:tc>
          <w:tcPr>
            <w:tcW w:type="dxa" w:w="1872"/>
          </w:tcPr>
          <w:p>
            <w:r>
              <w:t>M4 joint p = .102 †; M8 joint p = .062 †; FSTS_c × DAI_z = −0.912 *</w:t>
            </w:r>
          </w:p>
        </w:tc>
      </w:tr>
      <w:tr>
        <w:tc>
          <w:tcPr>
            <w:tcW w:type="dxa" w:w="1872"/>
          </w:tcPr>
          <w:p>
            <w:r>
              <w:t>Pooled</w:t>
            </w:r>
          </w:p>
        </w:tc>
        <w:tc>
          <w:tcPr>
            <w:tcW w:type="dxa" w:w="1872"/>
          </w:tcPr>
          <w:p>
            <w:r>
              <w:t>Inverted-U: FSTS_c 0.984*** / FSTS_c² −1.909***; LM p &lt; .001; TP = 39.7 %</w:t>
            </w:r>
          </w:p>
        </w:tc>
        <w:tc>
          <w:tcPr>
            <w:tcW w:type="dxa" w:w="1872"/>
          </w:tcPr>
          <w:p>
            <w:r>
              <w:t>0.179 *** (M7)</w:t>
            </w:r>
          </w:p>
        </w:tc>
        <w:tc>
          <w:tcPr>
            <w:tcW w:type="dxa" w:w="1872"/>
          </w:tcPr>
          <w:p>
            <w:r>
              <w:t>0.078 ** (M7); 0.032 n.s. (M8)</w:t>
            </w:r>
          </w:p>
        </w:tc>
        <w:tc>
          <w:tcPr>
            <w:tcW w:type="dxa" w:w="1872"/>
          </w:tcPr>
          <w:p>
            <w:r>
              <w:t>M4 joint p = .213 n.s.; M8 joint p = .083 †</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product-innovation and h8 R&amp;D indicators are available). Adding h1 and h8 to the primary TCI items produces an attenuated direct effect: the TCI_full_z direct coefficient is 0.056 (p = .253) in 2015 and 0.096 (p = .024) in 2023 — both smaller than the corresponding TCI_thin estimates of 0.128 and 0.123. The moderation joint test is not statistically distinguishable from zero in either wave (2015 joint F p = .492; 2023 joint F p = .152). The attenuation is consistent with the interpretation that the TCI_thin items (b8 quality certification and e6 foreign-licensed technology) carry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The richer specification extends the primary website-based DAI with k33 (customer e-payment intensity) and k38 (supplier e-payment intensity), in both continuous and binary forms. The 2023 DAI_rich_cont moderation joint test is marginal (joint F p = .099, with FSTS_c × DAI_rich_cont_z = −0.933, p = .076), and the binary specification is non-significant (joint F p = .243). The richer measure thus indicates a similar directional pattern to the primary DAI moderation finding but with weaker individual significance — consistent with the view that transaction-enabling digital adoption operates through a different productivity channel than basic digital presence and should not be treated as a one-for-one replacement for the harmonised primary specification.</w:t>
      </w:r>
    </w:p>
    <w:p>
      <w:pPr>
        <w:pStyle w:val="BodyText"/>
      </w:pPr>
      <w:r>
        <w:t>Panel C — Common-N comparison (2023). The primary DAI_z and DAI_rich specifications are estimated on the same N = 1,013 sample, so the differences in Panel B reflect measurement rather than sample. This rules out the alternative explanation that DAI_rich attenuates because of selective missingness on k33 / k38, and supports retaining the harmonised website-based DAI as the primary cross-wave specification.</w:t>
      </w:r>
    </w:p>
    <w:p>
      <w:pPr>
        <w:pStyle w:val="BodyText"/>
      </w:pPr>
      <w:r>
        <w:t>Panel D — Micro-firm exclusion (l1 ≥ 10). Excluding firms with fewer than ten permanent employees reduces the pooled sample to N = 2,473 and leaves the substantive inferences intact. The inverted-U is preserved (FSTS_c β = 0.794, p = .008; FSTS_c² β = −1.647, p &lt; .001), the TCI_z direct association is essentially unchanged (β = 0.188, p &lt; .001), DAI_z direct is positive but not individually significant (β = 0.054, p = .288), and the DAI moderation joint test in the full M8 specification (joint F p = .167) is somewhat weaker than in the main pooled M8 (p = .083). The Lind–Mehlum monotonicity rejection and the broader lifecycle reading do not depend on the inclusion of very small firms.</w:t>
      </w:r>
    </w:p>
    <w:p>
      <w:pPr>
        <w:pStyle w:val="BodyText"/>
      </w:pPr>
      <w:r>
        <w:t>Panel E — Sample-selection probes (Heckman, 1979; Wooldridge, 2010). The selection equation is a probit of export_any on lnEmp, FirmAge, ForeignOwned, sector fixed effects and the WBES sampling region a2, with a2 supplying the exclusion restriction (sampling region affects export selection through differential logistical access but is plausibly uncorrelated with the productivity outcome conditional on the other controls). The inverse Mills ratio added to the outcome equation estimated on exporters (FSTS &gt; 0) is statistically insignificant in all four panels: λ = −0.111 (p = .846) in 2009, λ = −0.833 (p = .259) in 2015, λ = 0.665 (p = .399) in 2023, and λ = −0.462 (p = .347) pooled, indicating no significant selection bias along the IMR-detected channel. A complementary control-function specification using the generalised residual yields a significant residual in 2009 (β = 0.510, p &lt; .001) and pooled (β = 0.304, p &lt; .001), a marginal residual in 2023 (β = 0.259, p = .092) and a null residual in 2015 (β = −0.112, p = .357). The control-function signal indicates a degree of selection structure that the standard IMR does not pick up but does not overturn the H1, H2 or H3 substantive inferences when the focal coefficients are re-estimated with either correction.</w:t>
      </w:r>
    </w:p>
    <w:p>
      <w:pPr>
        <w:pStyle w:val="BodyText"/>
      </w:pPr>
      <w:r>
        <w:t>Panel F — Paternoster (1998) cross-wave z-tests. To assess whether the cross-wave differences in the focal M7 / M8 coefficients are statistically distinguishable from sampling noise, we apply z = (β_A − β_B) / sqrt(SE_A² + SE_B²) for each pair of waves and each focal term. The DAI_z direct association shifts significantly between 2009 and 2015 (z = 3.353, p &lt; .001) and between 2015 and 2023 (z = −2.051, p = .040), confirming that the lifecycle pattern of basic digital adoption is not an artefact of sampling noise. The TCI_z magnitude attenuates more modestly: the 2009-to-2015 difference (z = 1.288, p = .198) and 2009-to-2023 difference (z = 1.423, p = .155) are not statistically distinguishable. All FSTS_c, FSTS_c², FSTS_c × DAI_z and FSTS_c² × DAI_z pairwise differences are non-significant (all |z| &lt; 1.4, all p &gt; .17), so the inverted-U shape and the DAI moderation patterns are best read as a common curvature with wave-specific magnitudes rather than as cross-period structural shifts in the curvature parameters.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although the Paternoster (1998) z-tests reported in §4.5 confirm that the DAI_z drop between 2009 and 2015 is a statistically distinguishable cross-wave shift (z = 3.353, p &lt; .001) and the 2015-to-2023 recovery is also distinguishable (z = −2.051, p = .040). Most other cross-wave coefficient differences sit at marginal or non-significant magnitudes. The lifecycle narrative therefore relies more on the directional consistency of wave-specific estimates and the joint moderation tests than on uniformly significant pairwise z-tests. Future work could exploit policy timing — for example, Vietnam’s National Digital Transformation Programme launched in 2020 — for sharper identification of the digital channel through a policy-evaluation design rather than a cross-wave comparison.</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Conflict of interest</w:t>
      </w:r>
    </w:p>
    <w:p>
      <w:pPr>
        <w:pStyle w:val="FirstParagraph"/>
      </w:pPr>
      <w:r>
        <w:t>The authors declare no conflict of interest.</w:t>
      </w:r>
    </w:p>
    <w:p>
      <w:pPr>
        <w:pStyle w:val="Heading1"/>
      </w:pPr>
      <w:r>
        <w:t>Funding</w:t>
      </w:r>
    </w:p>
    <w:p>
      <w:pPr>
        <w:pStyle w:val="FirstParagraph"/>
      </w:pPr>
      <w:r>
        <w:t>This research received no specific grant from any funding agency in the public, commercial, or not-for-profit sectors.</w:t>
      </w:r>
    </w:p>
    <w:p>
      <w:pPr>
        <w:pStyle w:val="Heading1"/>
      </w:pPr>
      <w:r>
        <w:t>Data availability statement</w:t>
      </w:r>
    </w:p>
    <w:p>
      <w:pPr>
        <w:pStyle w:val="FirstParagraph"/>
      </w:pPr>
      <w:r>
        <w:t>The data that support the findings of this study are from the World Bank Enterprise Surveys and are available from the World Bank Enterprise Surveys portal,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Acknowledgements</w:t>
      </w:r>
    </w:p>
    <w:p>
      <w:pPr>
        <w:pStyle w:val="FirstParagraph"/>
      </w:pPr>
      <w:r>
        <w:t>This study uses data from the World Bank Enterprise Surveys. We thank the Enterprise Analysis Unit of the Development Economics Global Indicators Group of the World Bank for providing access to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 The replication package accompanying this manuscript was developed to support methodological transparency and computational reproducibility.</w:t>
      </w:r>
    </w:p>
    <w:p>
      <w:pPr>
        <w:pStyle w:val="Heading1"/>
      </w:pPr>
      <w:r>
        <w:t>Figures</w:t>
      </w:r>
    </w:p>
    <w:p>
      <w:r>
        <w:drawing>
          <wp:inline>
            <wp:extent cx="5943600" cy="356616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943600" cy="3566160"/>
                    </a:xfrm>
                    <a:prstGeom prst="rect"/>
                  </pic:spPr>
                </pic:pic>
              </a:graphicData>
            </a:graphic>
          </wp:inline>
        </w:drawing>
      </w:r>
    </w:p>
    <w:p>
      <w:pPr>
        <w:pStyle w:val="FirstParagraph"/>
      </w:pPr>
      <w:r>
        <w:t>Figure 1. Conceptual model and prediction map. Boxes: FSTS_c and FSTS_c² (direct-export intensity, mean-centred and squared within wave); TCI_z (Technological Capability Index, z-standardised within wave); DAI_z (foundational Digital Adoption Index, z-standardised within wave); lnLP (log labour productivity); controls (lnEmp, FirmAge, ForeignOwned, sector fixed effects, wave fixed effects in pooled specifications). Arrows label the four hypotheses tested in §4: H1 (curvature), H2 (TCI_z direct level and moderation of curvature), H3 (DAI_z direct association on average), H4 (FSTS_c × DAI_z and FSTS_c² × DAI_z reshape the curvature; sign is an empirical question that varies across waves).</w:t>
      </w:r>
    </w:p>
    <w:p>
      <w:r>
        <w:drawing>
          <wp:inline>
            <wp:extent cx="5943600" cy="4592782"/>
            <wp:docPr id="2" name="Picture 2"/>
            <wp:cNvGraphicFramePr>
              <a:graphicFrameLocks noChangeAspect="1"/>
            </wp:cNvGraphicFramePr>
            <a:graphic>
              <a:graphicData uri="http://schemas.openxmlformats.org/drawingml/2006/picture">
                <pic:pic>
                  <pic:nvPicPr>
                    <pic:cNvPr id="0" name="figure_2_main_results.png"/>
                    <pic:cNvPicPr/>
                  </pic:nvPicPr>
                  <pic:blipFill>
                    <a:blip r:embed="rId10"/>
                    <a:stretch>
                      <a:fillRect/>
                    </a:stretch>
                  </pic:blipFill>
                  <pic:spPr>
                    <a:xfrm>
                      <a:off x="0" y="0"/>
                      <a:ext cx="5943600" cy="4592782"/>
                    </a:xfrm>
                    <a:prstGeom prst="rect"/>
                  </pic:spPr>
                </pic:pic>
              </a:graphicData>
            </a:graphic>
          </wp:inline>
        </w:drawing>
      </w:r>
    </w:p>
    <w:p>
      <w:pPr>
        <w:pStyle w:val="BodyText"/>
      </w:pPr>
      <w:r>
        <w:t>Figure 2. Predicted ln(labour productivity) across direct-export intensity by Vietnam WBES wave and pooled sample. Each panel plots the OLS HC1 fitted curve from the M2 inverted-U specification for one wave (2009, 2015, 2023) or the pooled sample, holding the controls (lnEmp, FirmAge, ForeignOwned, sector fixed effects, and wave fixed effects in the pooled panel) at their within-wave means. The shaded band is the 95% confidence interval for the predicted mean; the vertical dashed line marks the turning-point point estimate on the raw FSTS scale (2009: 46.2 %; 2015: 39.6 %; 2023: 41.6 %; pooled: 39.8 %).</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Antonakis, J., Bendahan, S., Jacquart, P. and Lalive, R. (2010), "On making causal claims: A review and recommendations", The Leadership Quarterly, Vol. 21 No. 6, pp. 1086-1120.</w:t>
      </w:r>
    </w:p>
    <w:p>
      <w:pPr>
        <w:pStyle w:val="BodyText"/>
      </w:pPr>
      <w:r>
        <w:t>Bharadwaj, A., El Sawy, O.A., Pavlou, P.A. and Venkatraman, N. (2013), "Digital business strategy: Toward a next generation of insights", MIS Quarterly, Vol. 37 No. 2, pp. 471-482.</w:t>
      </w:r>
    </w:p>
    <w:p>
      <w:pPr>
        <w:pStyle w:val="BodyText"/>
      </w:pPr>
      <w:r>
        <w:t>Brynjolfsson, E., Rock, D. and Syverson, C. (2021), "The productivity J-curve: How intangibles complement general purpose technologies", American Economic Journal: Macroeconomics, Vol. 13 No. 1, pp. 333-372.</w:t>
      </w:r>
    </w:p>
    <w:p>
      <w:pPr>
        <w:pStyle w:val="BodyText"/>
      </w:pPr>
      <w:r>
        <w:t>Cohen, W.M. and Levinthal, D.A. (1990), "Absorptive capacity: A new perspective on learning and innovation", Administrative Science Quarterly, Vol. 35 No. 1, pp. 128-152.</w:t>
      </w:r>
    </w:p>
    <w:p>
      <w:pPr>
        <w:pStyle w:val="BodyText"/>
      </w:pPr>
      <w:r>
        <w:t>Cuervo-Cazurra, A. and Genc, M. (2008), "Transforming disadvantages into advantages: Developing-country MNEs in the least developed countries", Journal of International Business Studies, Vol. 39 No. 6, pp. 957-979.</w:t>
      </w:r>
    </w:p>
    <w:p>
      <w:pPr>
        <w:pStyle w:val="BodyText"/>
      </w:pPr>
      <w:r>
        <w:t>Heckman, J.J. (1979), "Sample selection bias as a specification error", Econometrica, Vol. 47 No. 1, pp. 153-161.</w:t>
      </w:r>
    </w:p>
    <w:p>
      <w:pPr>
        <w:pStyle w:val="BodyText"/>
      </w:pPr>
      <w:r>
        <w:t>Helfat, C.E. and Peteraf, M.A. (2003), "The dynamic resource-based view: Capability lifecycles", Strategic Management Journal, Vol. 24 No. 10, pp. 997-1010.</w:t>
      </w:r>
    </w:p>
    <w:p>
      <w:pPr>
        <w:pStyle w:val="BodyText"/>
      </w:pPr>
      <w:r>
        <w:t>Hennart, J.-F. (2007), "The theoretical rationale for a multinationality–performance relationship", Management International Review, Vol. 47 No. 3, pp. 423-452.</w:t>
      </w:r>
    </w:p>
    <w:p>
      <w:pPr>
        <w:pStyle w:val="BodyText"/>
      </w:pPr>
      <w:r>
        <w:t>Lall, S. (1992), "Technological capabilities and industrialization", World Development, Vol. 20 No. 2, pp. 165-186.</w:t>
      </w:r>
    </w:p>
    <w:p>
      <w:pPr>
        <w:pStyle w:val="BodyText"/>
      </w:pPr>
      <w:r>
        <w:t>Lind, J.T. and Mehlum, H. (2010), "With or without U? The appropriate test for a U-shaped relationship", Oxford Bulletin of Economics and Statistics, Vol. 72 No. 1, pp. 109-118.</w:t>
      </w:r>
    </w:p>
    <w:p>
      <w:pPr>
        <w:pStyle w:val="BodyText"/>
      </w:pPr>
      <w:r>
        <w:t>Lu, J.W. and Beamish, P.W. (2004), "International diversification and firm performance: The S-curve hypothesis", Academy of Management Journal, Vol. 47 No. 4, pp. 598-609.</w:t>
      </w:r>
    </w:p>
    <w:p>
      <w:pPr>
        <w:pStyle w:val="BodyText"/>
      </w:pPr>
      <w:r>
        <w:t>Marano, V., Arregle, J.-L., Hitt, M.A., Spadafora, E. and van Essen, M. (2016), "Home country institutions and the internationalization–performance relationship: A meta-analytic review", Journal of Management, Vol. 42 No. 5, pp. 1075-1110.</w:t>
      </w:r>
    </w:p>
    <w:p>
      <w:pPr>
        <w:pStyle w:val="BodyText"/>
      </w:pPr>
      <w:r>
        <w:t>Paternoster, R., Brame, R., Mazerolle, P. and Piquero, A. (1998), "Using the correct statistical test for the equality of regression coefficients", Criminology, Vol. 36 No. 4, pp. 859-866.</w:t>
      </w:r>
    </w:p>
    <w:p>
      <w:pPr>
        <w:pStyle w:val="BodyText"/>
      </w:pPr>
      <w:r>
        <w:t>Teece, D.J. (2007), "Explicating dynamic capabilities: The nature and microfoundations of (sustainable) enterprise performance", Strategic Management Journal, Vol. 28 No. 13, pp. 1319-1350.</w:t>
      </w:r>
    </w:p>
    <w:p>
      <w:pPr>
        <w:pStyle w:val="BodyText"/>
      </w:pPr>
      <w:r>
        <w:t>Verhoef, P.C., Broekhuizen, T., Bart, Y., Bhattacharya, A., Dong, J.Q., Fabian, N. and Haenlein, M. (2021), "Digital transformation: A multidisciplinary reflection and research agenda", Journal of Business Research, Vol. 122, pp. 889-901.</w:t>
      </w:r>
    </w:p>
    <w:p>
      <w:pPr>
        <w:pStyle w:val="BodyText"/>
      </w:pPr>
      <w:r>
        <w:t>Vernon, R. (1979), "The product cycle hypothesis in a new international environment", Oxford Bulletin of Economics and Statistics, Vol. 41 No. 4, pp. 255-267.</w:t>
      </w:r>
    </w:p>
    <w:p>
      <w:pPr>
        <w:pStyle w:val="BodyText"/>
      </w:pPr>
      <w:r>
        <w:t>Wagner, J. (2007), "Exports and productivity: A survey of the evidence from firm-level data", The World Economy, Vol. 30 No. 1, pp. 60-82.</w:t>
      </w:r>
    </w:p>
    <w:p>
      <w:pPr>
        <w:pStyle w:val="BodyText"/>
      </w:pPr>
      <w:r>
        <w:t>Wooldridge, J.M. (2010), Econometric Analysis of Cross Section and Panel Data, 2nd ed., MIT Press, Cambridge, MA.</w:t>
      </w:r>
    </w:p>
    <w:p>
      <w:pPr>
        <w:pStyle w:val="BodyText"/>
      </w:pPr>
      <w:r>
        <w:t>World Bank (2010), Vietnam Enterprise Survey 2009: Data file, World Bank Enterprise Surveys, available at: https://www.enterprisesurveys.org</w:t>
      </w:r>
    </w:p>
    <w:p>
      <w:pPr>
        <w:pStyle w:val="BodyText"/>
      </w:pPr>
      <w:r>
        <w:t>World Bank (2016), Vietnam Enterprise Survey 2015: Data file, World Bank Enterprise Surveys, available at: https://www.enterprisesurveys.org</w:t>
      </w:r>
    </w:p>
    <w:p>
      <w:pPr>
        <w:pStyle w:val="BodyText"/>
      </w:pPr>
      <w:r>
        <w:t>World Bank (2024), Vietnam Enterprise Survey 2023: Data file, World Bank Enterprise Surveys, available at: https://www.enterprisesurveys.org</w:t>
      </w:r>
    </w:p>
    <w:p>
      <w:pPr>
        <w:pStyle w:val="BodyText"/>
      </w:pPr>
      <w:r>
        <w:t>Wright, M., Filatotchev, I., Hoskisson, R.E. and Peng, M.W. (2005), "Strategy research in emerging economies: Challenging the conventional wisdom", Journal of Management Studies, Vol. 42 No. 1, pp. 1-33.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 Id="rId9" Type="http://schemas.openxmlformats.org/officeDocument/2006/relationships/image" Target="media/image1.png"/><Relationship Id="rId10" Type="http://schemas.openxmlformats.org/officeDocument/2006/relationships/image" Target="media/image2.png"/></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