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v5.7 — IJoEM blinded manuscript: reviewer-driven revision (DAI/TCI relabel, exporter-only, wave-interaction, Figure 3)</w:t>
      </w:r>
    </w:p>
    <w:p>
      <w:pPr>
        <w:pStyle w:val="Date"/>
      </w:pPr>
      <w:r>
        <w:t>2026-05-02</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(Lind and Mehlum, 2010)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foreign-technology / standards capability with foundational website-based digital adoption under transitional institutional conditions. It also offers a cleaner measurement strategy by separating these two domains with no shared items, and shows that the wave-specific pattern of digital moderation is consistent with stage contingency, with detectable moderation concentrated in 2023.</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 (Wright et al., 2005; Cuervo-Cazurra and Genc, 2008; Wu et al., 2016).</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(Vernon, 1979; Lu and Beamish, 2004; Hennart, 2007; Coviello et al., 2017;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Vial, 2019;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Hanelt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(Hennart, 2007; Wagner, 2007; Marano et al., 2016).</w:t>
      </w:r>
    </w:p>
    <w:p>
      <w:pPr>
        <w:pStyle w:val="BlockText"/>
      </w:pPr>
      <w:r>
        <w:t>H1. The relationship between internationalisation and firm performance in Vietnam is nonlinear.</w:t>
      </w:r>
    </w:p>
    <w:p>
      <w:pPr>
        <w:pStyle w:val="Heading2"/>
      </w:pPr>
      <w:r>
        <w:t>2.2 Foreign-technology and standards capability and firm performance</w:t>
      </w:r>
    </w:p>
    <w:p>
      <w:pPr>
        <w:pStyle w:val="FirstParagraph"/>
      </w:pPr>
      <w:r>
        <w:t>Following the Lall (1992) tradition for emerging-market firms, this paper uses a measurement-tight reading of technological capability: a foreign-technology and standards capability that captures a firm's exposure to externally validated technological inputs — internationally recognised quality certification and foreign-licensed technology. This is one observable facet of the broader Cohen-Levinthal (1990) absorptive-capacity construct and the dynamic-capability construct of Teece (2007), but the present measure does not claim to identify the full absorptive-capacity stock; it captures the externally facing component of that stock. In international settings, this externally facing capability is particularly important because firms must respond to unfamiliar markets, meet foreign quality standards, and integrate externally licensed technology into organisational routines.</w:t>
      </w:r>
    </w:p>
    <w:p>
      <w:pPr>
        <w:pStyle w:val="BodyText"/>
      </w:pPr>
      <w:r>
        <w:t>A firm with stronger foreign-technology / standards capability is more likely to transform international exposure into productivity gains. It can adjust products and processes to meet foreign requirements more effectively, integrate licensed foreign technology into production, and cope better with the operational demands created by export activity. Even when this capability does not fundamentally alter the curvature of the I–P relationship, it should improve the firm's overall performance level by raising the productivity floor among exposed firms.</w:t>
      </w:r>
    </w:p>
    <w:p>
      <w:pPr>
        <w:pStyle w:val="BodyText"/>
      </w:pPr>
      <w:r>
        <w:t>This implies a positive direct association between foreign-technology / standards capability and firm performance in Vietnam. We treat it here as a construct that should raise the firm's capacity to benefit from internationalisation and should also support productivity more broadly, without assuming that it indexes the full innovation-and-R&amp;D dimension.</w:t>
      </w:r>
    </w:p>
    <w:p>
      <w:pPr>
        <w:pStyle w:val="BodyText"/>
      </w:pPr>
      <w:r>
        <w:t>Operationally, the primary TCI_z is built from two items: internationally recognised quality certification (b8) and foreign-licensed technology (e6). These items measure exposure to foreign-technology and standards channels rather than internal R&amp;D effort or patent activity. A broader innovation-augmented composite (TCI_full, adding product innovation h1 and R&amp;D activity h8) is reported in §4.5 Panel A as a boundary condition: if direct effects attenuate when innovation items are added, this indicates that the primary measure is informative specifically about the foreign-technology / standards channel, not the broader absorptive-capacity stock.</w:t>
      </w:r>
    </w:p>
    <w:p>
      <w:pPr>
        <w:pStyle w:val="BlockText"/>
      </w:pPr>
      <w:r>
        <w:t>H2. Foreign-technology / standards capability (TCI_z) is positively associated with firm performance in Vietnam.</w:t>
      </w:r>
    </w:p>
    <w:p>
      <w:pPr>
        <w:pStyle w:val="Heading2"/>
      </w:pPr>
      <w:r>
        <w:t>2.3 Website-based digital presence and firm performance</w:t>
      </w:r>
    </w:p>
    <w:p>
      <w:pPr>
        <w:pStyle w:val="FirstParagraph"/>
      </w:pPr>
      <w:r>
        <w:t>The primary DAI_z used in this paper is a website-based digital presence measure: a binary indicator of whether the firm has its own website. This is a foundational and cross-wave-comparable marker of digital adoption — it does not measure transaction-level digital integration, electronic payment infrastructure, or digital transformation in the Bharadwaj et al. (2013) / Verhoef et al. (2021) / Vial (2019) sense. We use it here precisely because it is the only digital indicator the WBES instrument carries comparably across the 2009 / 2015 / 2023 waves; transaction-level items such as electronic-payment shares appear only in the 2023 questionnaire.</w:t>
      </w:r>
    </w:p>
    <w:p>
      <w:pPr>
        <w:pStyle w:val="BodyText"/>
      </w:pPr>
      <w:r>
        <w:t>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 supply chains, or decision-making — and the realised payoff depends on whether the firm has the scale and routines to translate online visibility into export business.</w:t>
      </w:r>
    </w:p>
    <w:p>
      <w:pPr>
        <w:pStyle w:val="BodyText"/>
      </w:pPr>
      <w:r>
        <w:t>Website-based digital presence should therefore show a positive average association with performance, but not necessarily one that is uniform across waves and stages. The information value of a website may have shifted across the 2009–2023 window: in 2009 a website was a distinguishing market interface; by 2023 it is closer to a routine marker of basic digital presence. The §5 discussion takes this proxy obsolescence reading seriously as one alternative to a pure stage-contingency story.</w:t>
      </w:r>
    </w:p>
    <w:p>
      <w:pPr>
        <w:pStyle w:val="BodyText"/>
      </w:pPr>
      <w:r>
        <w:t>Following Verhoef et al. (2021), digital capability can be located on a four-tier hierarchy: Tier 1 — digital presence (websites, e-mail); Tier 2 — digital communication and basic e-commerce; Tier 3 — digital process integration (electronic payment, supply-chain digitisation); Tier 4 — dynamic digital capability (data-driven decision-making, AI integration). The primary DAI_z anchors at Tier 1 only. A Tier 3-style extension (DAI_rich) is reported in §4.5 Panel B for the 2023 wave, where electronic-payment items become available. The label "foundational website adoption" therefore tracks what the construct can actually identify across the 2009–2023 window.</w:t>
      </w:r>
    </w:p>
    <w:p>
      <w:pPr>
        <w:pStyle w:val="BlockText"/>
      </w:pPr>
      <w:r>
        <w:t>H3. Website-based digital presence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(exploratory). The performance relevance of website-based digital presence (DAI_z) in Vietnam varies across stages of internationalisation; we treat the within-wave moderation as exploratory and concentrate the test on 2023, where the post-NDTP environment plausibly enables a moderation channel.</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BodyText"/>
      </w:pPr>
      <w:r>
        <w:t>Figure 1. Conceptual model. The independent variable (internationalisation, FSTS_c and FSTS_c²) and the dependent variable (firm performance, ln labour productivity) anchor the IV–DV spine. Technological capability (TCI_z) and digital adoption (DAI_z) operate as moderators of the curvature; controls are firm size (lnEmp), firm age (FirmAge), foreign ownership (ForeignOwned), broad sector fixed effects, and wave fixed effects in the pooled specification. Source: World Bank Enterprise Surveys (https://www.enterprisesurveys.org); authors’ calculations on the 2009, 2015 and 2023 Vietnam waves.</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(World Bank, 2010, 2016, 2024).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956 for 2015, and 1,013 for 2023. The pooled full model contains 2,958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is interpreted narrowly as a foreign-technology and standards capability measure — international quality certification and foreign-licensed technology — that proxies a firm's exposure to external technological standards rather than the full Cohen-Levinthal absorptive-capacity stock (Lall, 1992; Cohen and Levinthal, 1990). The Digital Adoption Index (DAI_z) is interpreted narrowly as website-based digital presence — foundational website adoption — and not as a measure of transaction-level digital integration or digital transformation (Bharadwaj et al., 2013; Verhoef et al., 2021; Nambisan et al., 2019). Each composite is z-standardised within wave so that the reported coefficients are comparable in magnitude. This separation is deliberate because the study is interested in whether the two domains exhibit different empirical roles, while keeping the construct labels tight against what the underlying WBES items actually measure.</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956, and 1,013 observations for 2009, 2015, and 2023 respectively; pooled N is 2,958.</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 (Antonakis et al., 2010; Wooldridge, 2010).</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956)</w:t>
            </w:r>
          </w:p>
        </w:tc>
        <w:tc>
          <w:tcPr>
            <w:tcW w:type="dxa" w:w="1872"/>
          </w:tcPr>
          <w:p>
            <w:r>
              <w:t>2023 (N = 1,013)</w:t>
            </w:r>
          </w:p>
        </w:tc>
        <w:tc>
          <w:tcPr>
            <w:tcW w:type="dxa" w:w="1872"/>
          </w:tcPr>
          <w:p>
            <w:r>
              <w:t>Pooled (N = 2,958)</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World Bank Enterprise Surveys (https://www.enterprisesurveys.org); authors’ calculations on the Vietnam 2009, 2015 and 2023 waves. Replication output: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wave-specific associations consistent with stage contingency. Foreign-technology / standards capability is positive across all three waves with a modestly attenuating magnitude (TCI_z = 0.215 → 0.128 → 0.123) but with moderation that survives in the 2009, 2023 and pooled panels. Website-based digital presence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statistically distinguishable. A formal pooled wave × focal interaction test (reported as Panel I in §4.5) confirms that only the DAI direct shifts are cross-wave-distinguishable; the FSTS curvature and the FSTS × DAI moderation differences across waves are not statistically separable in the pooled saturated specification. We therefore read the pattern as wave-specific associations consistent with stage contingency, not as a fully cross-wave-identified structural shift.</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 coming primarily from scale and from foreign-technology / standards capability rather than from foundational digital adoption in this wave.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exploratory support concentrated in the 2023 wave. The DAI joint moderation test is null in 2009 (M4 p = .825), null in 2015 (M4 p = .125) and reaches the edge of significance in 2023 with the individual interaction FSTS_c × DAI_z = −0.912 (p = .043) and the joint test at M4 p = .102, M8 p = .062. The pooled M8 joint test (p = .083) is also at marginal significance, driven by the 2023 wave rather than by a stable cross-period moderation. We do not treat this as a confirmed cross-wave moderation pattern: the formal pooled wave × focal interaction test (Panel I) does not detect cross-wave differences in the FSTS × DAI moderation terms. The substantive reading is that 2023 is the only wave in which the digital moderation is within-sample detectable, and we frame this as exploratory rather than as a confirmed hypothesis test.</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 Source: World Bank Enterprise Surveys (https://www.enterprisesurveys.org); authors’ calculations.</w:t>
      </w:r>
    </w:p>
    <w:p>
      <w:r>
        <w:drawing>
          <wp:inline>
            <wp:extent cx="5486400" cy="3657600"/>
            <wp:docPr id="2" name="Picture 2"/>
            <wp:cNvGraphicFramePr>
              <a:graphicFrameLocks noChangeAspect="1"/>
            </wp:cNvGraphicFramePr>
            <a:graphic>
              <a:graphicData uri="http://schemas.openxmlformats.org/drawingml/2006/picture">
                <pic:pic>
                  <pic:nvPicPr>
                    <pic:cNvPr id="0" name="figure_2a.png"/>
                    <pic:cNvPicPr/>
                  </pic:nvPicPr>
                  <pic:blipFill>
                    <a:blip r:embed="rId10"/>
                    <a:stretch>
                      <a:fillRect/>
                    </a:stretch>
                  </pic:blipFill>
                  <pic:spPr>
                    <a:xfrm>
                      <a:off x="0" y="0"/>
                      <a:ext cx="5486400" cy="3657600"/>
                    </a:xfrm>
                    <a:prstGeom prst="rect"/>
                  </pic:spPr>
                </pic:pic>
              </a:graphicData>
            </a:graphic>
          </wp:inline>
        </w:drawing>
      </w:r>
    </w:p>
    <w:p>
      <w:pPr>
        <w:pStyle w:val="BodyText"/>
      </w:pPr>
      <w:r>
        <w:t>Figure 2a. Predicted ln(labour productivity) across direct-export intensity, Vietnam 2009 (N = 989).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3" name="Picture 3"/>
            <wp:cNvGraphicFramePr>
              <a:graphicFrameLocks noChangeAspect="1"/>
            </wp:cNvGraphicFramePr>
            <a:graphic>
              <a:graphicData uri="http://schemas.openxmlformats.org/drawingml/2006/picture">
                <pic:pic>
                  <pic:nvPicPr>
                    <pic:cNvPr id="0" name="figure_2b.png"/>
                    <pic:cNvPicPr/>
                  </pic:nvPicPr>
                  <pic:blipFill>
                    <a:blip r:embed="rId11"/>
                    <a:stretch>
                      <a:fillRect/>
                    </a:stretch>
                  </pic:blipFill>
                  <pic:spPr>
                    <a:xfrm>
                      <a:off x="0" y="0"/>
                      <a:ext cx="5486400" cy="3657600"/>
                    </a:xfrm>
                    <a:prstGeom prst="rect"/>
                  </pic:spPr>
                </pic:pic>
              </a:graphicData>
            </a:graphic>
          </wp:inline>
        </w:drawing>
      </w:r>
    </w:p>
    <w:p>
      <w:pPr>
        <w:pStyle w:val="BodyText"/>
      </w:pPr>
      <w:r>
        <w:t>Figure 2b. Predicted ln(labour productivity) across direct-export intensity, Vietnam 2015 (N = 956).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4" name="Picture 4"/>
            <wp:cNvGraphicFramePr>
              <a:graphicFrameLocks noChangeAspect="1"/>
            </wp:cNvGraphicFramePr>
            <a:graphic>
              <a:graphicData uri="http://schemas.openxmlformats.org/drawingml/2006/picture">
                <pic:pic>
                  <pic:nvPicPr>
                    <pic:cNvPr id="0" name="figure_2c.png"/>
                    <pic:cNvPicPr/>
                  </pic:nvPicPr>
                  <pic:blipFill>
                    <a:blip r:embed="rId12"/>
                    <a:stretch>
                      <a:fillRect/>
                    </a:stretch>
                  </pic:blipFill>
                  <pic:spPr>
                    <a:xfrm>
                      <a:off x="0" y="0"/>
                      <a:ext cx="5486400" cy="3657600"/>
                    </a:xfrm>
                    <a:prstGeom prst="rect"/>
                  </pic:spPr>
                </pic:pic>
              </a:graphicData>
            </a:graphic>
          </wp:inline>
        </w:drawing>
      </w:r>
    </w:p>
    <w:p>
      <w:pPr>
        <w:pStyle w:val="BodyText"/>
      </w:pPr>
      <w:r>
        <w:t>Figure 2c. Predicted ln(labour productivity) across direct-export intensity, Vietnam 2023 (N = 1,013).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5" name="Picture 5"/>
            <wp:cNvGraphicFramePr>
              <a:graphicFrameLocks noChangeAspect="1"/>
            </wp:cNvGraphicFramePr>
            <a:graphic>
              <a:graphicData uri="http://schemas.openxmlformats.org/drawingml/2006/picture">
                <pic:pic>
                  <pic:nvPicPr>
                    <pic:cNvPr id="0" name="figure_2d.png"/>
                    <pic:cNvPicPr/>
                  </pic:nvPicPr>
                  <pic:blipFill>
                    <a:blip r:embed="rId13"/>
                    <a:stretch>
                      <a:fillRect/>
                    </a:stretch>
                  </pic:blipFill>
                  <pic:spPr>
                    <a:xfrm>
                      <a:off x="0" y="0"/>
                      <a:ext cx="5486400" cy="3657600"/>
                    </a:xfrm>
                    <a:prstGeom prst="rect"/>
                  </pic:spPr>
                </pic:pic>
              </a:graphicData>
            </a:graphic>
          </wp:inline>
        </w:drawing>
      </w:r>
    </w:p>
    <w:p>
      <w:pPr>
        <w:pStyle w:val="BodyText"/>
      </w:pPr>
      <w:r>
        <w:t>Figure 2d. Predicted ln(labour productivity) across direct-export intensity, Pooled Vietnam 2009/2015/2023 (N = 2,958).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The reconciled M8 joint test for the primary specification on this common-N sample yields F(3, 998) ≈ 2.50, p = .062 — matching the main 2023 M8 result, and confirming that the Panel B DAI_rich attenuation is not an artefact of selective missingness on k33 / k38. This rules out a missingness-driven alternative explanation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1979; Wooldridge, 2010).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detectable selection bias on the exporter sub-sample. We also report a control-function specification estimated on the full sample using the probit-based generalised residual, which yields a significant residual pooled (β = 0.304, p &lt; .001) and in 2009 (β = 0.510, p &lt; .001), a marginal residual in 2023 (β = 0.259, p = .092) and a null residual in 2015 (β = −0.112, p = .357). We do not interpret this gap as evidence of a different selection channel: in a probit, the generalised residual coincides with the inverse Mills ratio for selected observations, so the difference in significance reflects the larger estimation sample (non-exporters are included in the control-function regression) and the slightly different specification, not a substantively distinct selection mechanism. Either way, the focal H1 / H2 / H3 inferences survive both corrections.</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FirstParagraph"/>
      </w:pPr>
      <w:r>
        <w:t>Panel G — Sector split (manufacturing versus non-manufacturing). To test whether the digital and capability channels operate uniformly across the broad sectoral composition of the Vietnamese exporter cohort, we re-estimate the pooled M2 / M7 / M8 specifications separately on manufacturing firms (sector1 ∈ {1, 2, 3} — ISIC 15–37, N = 1,854) and non-manufacturing firms (utilities, construction, wholesale and retail, transport, finance and other services; sector1 ∈ {4, 5, 6, 7}; N = 1,104). The inverted-U is preserved in both subsets but is sharper in manufacturing (FSTS_c β = 0.971, p = .001; FSTS_c² β = −1.883, p &lt; .001) than in non-manufacturing (FSTS_c β = 1.615, p = .064, marginal; FSTS_c² β = −2.479, p = .046).</w:t>
      </w:r>
    </w:p>
    <w:p>
      <w:pPr>
        <w:pStyle w:val="BodyText"/>
      </w:pPr>
      <w:r>
        <w:t>More substantively, the capability and digital-adoption channels operate primarily in manufacturing. In the M7 dual-direct specification, manufacturing firms display a strong TCI_z direct association (β = 0.223, p &lt; .001) and a positive DAI_z direct association (β = 0.087, p = .009), while non-manufacturing firms show only a marginal TCI_z effect (β = 0.090, p = .096) and a null DAI_z effect (β = 0.068, p = .133). The DAI moderation channel is concentrated in manufacturing (M8 joint p = .103, marginal; FSTS_c × DAI_z = −0.543, p = .079) and is uniformly null in non-manufacturing (M8 joint p = .280). TCI moderation, by contrast, is statistically distinguishable from zero in both subsets (M3 joint p = .011 in manufacturing and p = .007 in non-manufacturing), indicating that the curvature-flattening effect of capability operates broadly while the digital channel remains specific to the manufacturing exporter base. Substantively, this pattern is consistent with the view that basic digital adoption interacts with cross-border production-coordination demands more strongly in tradable-goods sectors than in service-oriented or domestically oriented sectors of the Vietnamese economy.</w:t>
      </w:r>
    </w:p>
    <w:p>
      <w:pPr>
        <w:pStyle w:val="FirstParagraph"/>
      </w:pPr>
      <w:r>
        <w:t>Panel H — Exporter-only sub-sample (FSTS &gt; 0). Because the exporter share is 28.4 %, 20.7 % and 18.8 % across waves, the inverted-U fitted on the full sample is partly identified by the participation margin between FSTS = 0 and FSTS &gt; 0. We re-fit M2 / M7 / M8 on the exporter-only sub-sample (N ≈ 281 in 2009, 198 in 2015, 190 in 2023, and 669 pooled). The pooled exporter-only specification yields a negative linear FSTS_c term (β = −0.861, p &lt; .001) but a non-significant quadratic term (FSTS_c² β = −0.200, p = .660), and the joint M8 test of the curvature plus moderation block is not significant (joint F p = .462). The wave-specific exporter-only estimates are similarly noisier and individually weaker than the full-sample counterparts. We read this as showing that the inverted-U documented in the main specification is meaningfully identified by the participation margin rather than purely by within-exporter intensity variation; this is consistent with the §3.1 descriptive evidence that direct-export intensity is a zero-inflated variable in Vietnamese WBES data, with limited mass between the participation margin and the implied turning point. The substantive H1 claim is therefore best read as a non-monotonic association between participation-and-intensity in exporting and productivity, not as a strict within-exporter intensity-curvature claim.</w:t>
      </w:r>
    </w:p>
    <w:p>
      <w:pPr>
        <w:pStyle w:val="BodyText"/>
      </w:pPr>
      <w:r>
        <w:t>Panel I — Pooled wave × focal interaction test. To formally test whether the wave-specific patterns of curvature and moderation are statistically separable from the pooled estimates, we 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 result: only the DAI direct shifts are cross-wave-distinguishable, while the curvature parameters and the FSTS × DAI moderation terms share a common pooled magnitude across waves.</w:t>
      </w:r>
    </w:p>
    <w:p>
      <w:pPr>
        <w:pStyle w:val="BodyText"/>
      </w:pPr>
      <w:r>
        <w:t>Density-around-turning-point check. We also report the within-sample mass of firms in the curvature zone. Defining a ±5 percentage-point band around the wave-specific turning point (TP), the share of firms with FSTS within the band is 0.6 % (6 of 989) in 2009, 1.2 % (11 of 956) in 2015, 0.9 % (9 of 1,013) in 2023 and 1.0 % (29 of 2,958) pooled. The bulk of mass lies at FSTS = 0; the turning-point estimates are identified primarily through the contrast between non-exporters and exporters and the right tail above the TP, not through dense within-band variation. Readers should bear this density structure in mind when interpreting the precise turning-point magnitude.</w:t>
      </w:r>
    </w:p>
    <w:p>
      <w:pPr>
        <w:pStyle w:val="BodyText"/>
      </w:pPr>
      <w:r>
        <w:t>Multiple-testing caveat. §4.5 reports nine robustness panels (A–I) across two enriched composites, three sub-samples, two selection corrections, cross-wave z-tests and a wave-saturated interaction test, each touching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p>
    <w:p>
      <w:pPr>
        <w:jc w:val="center"/>
      </w:pPr>
      <w:r>
        <w:drawing>
          <wp:inline>
            <wp:extent cx="5943600" cy="2480807"/>
            <wp:docPr id="6" name="Picture 6"/>
            <wp:cNvGraphicFramePr>
              <a:graphicFrameLocks noChangeAspect="1"/>
            </wp:cNvGraphicFramePr>
            <a:graphic>
              <a:graphicData uri="http://schemas.openxmlformats.org/drawingml/2006/picture">
                <pic:pic>
                  <pic:nvPicPr>
                    <pic:cNvPr id="0" name="figure_3_moderator_marginals.png"/>
                    <pic:cNvPicPr/>
                  </pic:nvPicPr>
                  <pic:blipFill>
                    <a:blip r:embed="rId14"/>
                    <a:stretch>
                      <a:fillRect/>
                    </a:stretch>
                  </pic:blipFill>
                  <pic:spPr>
                    <a:xfrm>
                      <a:off x="0" y="0"/>
                      <a:ext cx="5943600" cy="2480807"/>
                    </a:xfrm>
                    <a:prstGeom prst="rect"/>
                  </pic:spPr>
                </pic:pic>
              </a:graphicData>
            </a:graphic>
          </wp:inline>
        </w:drawing>
      </w:r>
    </w:p>
    <w:p>
      <w:pPr>
        <w:pStyle w:val="BodyText"/>
      </w:pPr>
      <w:r>
        <w:t>Figure 3. Predicted log labour productivity along the FSTS export-intensity range, evaluated at the 25th vs 75th percentile of the moderator. Panel 3a shows the FSTS curve at low (p25) vs high (p75) DAI_z; Panel 3b shows the FSTS curve at low (p25) vs high (p75) TCI_z. Curves are obtained from the pooled M8 specification with controls and wave + sector fixed effects fixed at their sample modes / means; predictions are reported on the within-sample FSTS support. Source: World Bank Enterprise Surveys (https://www.enterprisesurveys.org); authors' calculations.</w:t>
      </w:r>
    </w:p>
    <w:p>
      <w:pPr>
        <w:pStyle w:val="FirstParagraph"/>
      </w:pPr>
      <w:r>
        <w:t>Table 3 collates the robustness panels documented in §4.5 in a single overview to ease cross-comparison.</w:t>
      </w:r>
    </w:p>
    <w:tbl>
      <w:tblPr>
        <w:tblStyle w:val="Table"/>
        <w:tblW w:type="auto" w:w="0"/>
        <w:tblLook w:firstColumn="1" w:firstRow="1" w:lastColumn="0" w:lastRow="0" w:noHBand="0" w:noVBand="1" w:val="04A0"/>
      </w:tblPr>
      <w:tblGrid>
        <w:gridCol w:w="2340"/>
        <w:gridCol w:w="2340"/>
        <w:gridCol w:w="2340"/>
        <w:gridCol w:w="2340"/>
      </w:tblGrid>
      <w:tr>
        <w:tc>
          <w:tcPr>
            <w:tcW w:type="dxa" w:w="2340"/>
          </w:tcPr>
          <w:p>
            <w:r>
              <w:t>Panel / Sample</w:t>
            </w:r>
          </w:p>
        </w:tc>
        <w:tc>
          <w:tcPr>
            <w:tcW w:type="dxa" w:w="2340"/>
          </w:tcPr>
          <w:p>
            <w:r>
              <w:t>N</w:t>
            </w:r>
          </w:p>
        </w:tc>
        <w:tc>
          <w:tcPr>
            <w:tcW w:type="dxa" w:w="2340"/>
          </w:tcPr>
          <w:p>
            <w:r>
              <w:t>Focal coefficient</w:t>
            </w:r>
          </w:p>
        </w:tc>
        <w:tc>
          <w:tcPr>
            <w:tcW w:type="dxa" w:w="2340"/>
          </w:tcPr>
          <w:p>
            <w:r>
              <w:t>Joint test</w:t>
            </w:r>
          </w:p>
        </w:tc>
      </w:tr>
      <w:tr>
        <w:tc>
          <w:tcPr>
            <w:tcW w:type="dxa" w:w="2340"/>
          </w:tcPr>
          <w:p>
            <w:r>
              <w:t>A. TCI_full direct (2015)</w:t>
            </w:r>
          </w:p>
        </w:tc>
        <w:tc>
          <w:tcPr>
            <w:tcW w:type="dxa" w:w="2340"/>
          </w:tcPr>
          <w:p>
            <w:r>
              <w:t>956</w:t>
            </w:r>
          </w:p>
        </w:tc>
        <w:tc>
          <w:tcPr>
            <w:tcW w:type="dxa" w:w="2340"/>
          </w:tcPr>
          <w:p>
            <w:r>
              <w:t>TCI_full_z = 0.056 (p = .253) n.s.; DAI_z = −0.033 n.s.</w:t>
            </w:r>
          </w:p>
        </w:tc>
        <w:tc>
          <w:tcPr>
            <w:tcW w:type="dxa" w:w="2340"/>
          </w:tcPr>
          <w:p>
            <w:r>
              <w:t>M3 joint p = .492 n.s.</w:t>
            </w:r>
          </w:p>
        </w:tc>
      </w:tr>
      <w:tr>
        <w:tc>
          <w:tcPr>
            <w:tcW w:type="dxa" w:w="2340"/>
          </w:tcPr>
          <w:p>
            <w:r>
              <w:t>A. TCI_full direct (2023)</w:t>
            </w:r>
          </w:p>
        </w:tc>
        <w:tc>
          <w:tcPr>
            <w:tcW w:type="dxa" w:w="2340"/>
          </w:tcPr>
          <w:p>
            <w:r>
              <w:t>1,013</w:t>
            </w:r>
          </w:p>
        </w:tc>
        <w:tc>
          <w:tcPr>
            <w:tcW w:type="dxa" w:w="2340"/>
          </w:tcPr>
          <w:p>
            <w:r>
              <w:t>TCI_full_z = 0.096 (p = .024) *; DAI_z = 0.097 (p = .037) *</w:t>
            </w:r>
          </w:p>
        </w:tc>
        <w:tc>
          <w:tcPr>
            <w:tcW w:type="dxa" w:w="2340"/>
          </w:tcPr>
          <w:p>
            <w:r>
              <w:t>M3 joint p = .152 n.s.</w:t>
            </w:r>
          </w:p>
        </w:tc>
      </w:tr>
      <w:tr>
        <w:tc>
          <w:tcPr>
            <w:tcW w:type="dxa" w:w="2340"/>
          </w:tcPr>
          <w:p>
            <w:r>
              <w:t>B. DAI_rich continuous (2023)</w:t>
            </w:r>
          </w:p>
        </w:tc>
        <w:tc>
          <w:tcPr>
            <w:tcW w:type="dxa" w:w="2340"/>
          </w:tcPr>
          <w:p>
            <w:r>
              <w:t>1,013</w:t>
            </w:r>
          </w:p>
        </w:tc>
        <w:tc>
          <w:tcPr>
            <w:tcW w:type="dxa" w:w="2340"/>
          </w:tcPr>
          <w:p>
            <w:r>
              <w:t>FSTS_c × DAI_rich_cont_z = −0.933 (p = .076) †</w:t>
            </w:r>
          </w:p>
        </w:tc>
        <w:tc>
          <w:tcPr>
            <w:tcW w:type="dxa" w:w="2340"/>
          </w:tcPr>
          <w:p>
            <w:r>
              <w:t>M8 joint p = .099 †</w:t>
            </w:r>
          </w:p>
        </w:tc>
      </w:tr>
      <w:tr>
        <w:tc>
          <w:tcPr>
            <w:tcW w:type="dxa" w:w="2340"/>
          </w:tcPr>
          <w:p>
            <w:r>
              <w:t>B. DAI_rich binary (2023)</w:t>
            </w:r>
          </w:p>
        </w:tc>
        <w:tc>
          <w:tcPr>
            <w:tcW w:type="dxa" w:w="2340"/>
          </w:tcPr>
          <w:p>
            <w:r>
              <w:t>1,013</w:t>
            </w:r>
          </w:p>
        </w:tc>
        <w:tc>
          <w:tcPr>
            <w:tcW w:type="dxa" w:w="2340"/>
          </w:tcPr>
          <w:p>
            <w:r>
              <w:t>FSTS_c × DAI_rich_bin_z = −0.893 (p = .169) n.s.</w:t>
            </w:r>
          </w:p>
        </w:tc>
        <w:tc>
          <w:tcPr>
            <w:tcW w:type="dxa" w:w="2340"/>
          </w:tcPr>
          <w:p>
            <w:r>
              <w:t>M8 joint p = .243 n.s.</w:t>
            </w:r>
          </w:p>
        </w:tc>
      </w:tr>
      <w:tr>
        <w:tc>
          <w:tcPr>
            <w:tcW w:type="dxa" w:w="2340"/>
          </w:tcPr>
          <w:p>
            <w:r>
              <w:t>C. Common-N reconciled (2023)</w:t>
            </w:r>
          </w:p>
        </w:tc>
        <w:tc>
          <w:tcPr>
            <w:tcW w:type="dxa" w:w="2340"/>
          </w:tcPr>
          <w:p>
            <w:r>
              <w:t>1,013</w:t>
            </w:r>
          </w:p>
        </w:tc>
        <w:tc>
          <w:tcPr>
            <w:tcW w:type="dxa" w:w="2340"/>
          </w:tcPr>
          <w:p>
            <w:r>
              <w:t>DAI_z moderation re-estimated on identical 2023 sample</w:t>
            </w:r>
          </w:p>
        </w:tc>
        <w:tc>
          <w:tcPr>
            <w:tcW w:type="dxa" w:w="2340"/>
          </w:tcPr>
          <w:p>
            <w:r>
              <w:t>M8 joint p = .062 † (matches main 2023 M8)</w:t>
            </w:r>
          </w:p>
        </w:tc>
      </w:tr>
      <w:tr>
        <w:tc>
          <w:tcPr>
            <w:tcW w:type="dxa" w:w="2340"/>
          </w:tcPr>
          <w:p>
            <w:r>
              <w:t>D. Micro-firm exclusion (l1 ≥ 10)</w:t>
            </w:r>
          </w:p>
        </w:tc>
        <w:tc>
          <w:tcPr>
            <w:tcW w:type="dxa" w:w="2340"/>
          </w:tcPr>
          <w:p>
            <w:r>
              <w:t>2,473</w:t>
            </w:r>
          </w:p>
        </w:tc>
        <w:tc>
          <w:tcPr>
            <w:tcW w:type="dxa" w:w="2340"/>
          </w:tcPr>
          <w:p>
            <w:r>
              <w:t>TCI_z = 0.188 ***; DAI_z = 0.054 n.s.</w:t>
            </w:r>
          </w:p>
        </w:tc>
        <w:tc>
          <w:tcPr>
            <w:tcW w:type="dxa" w:w="2340"/>
          </w:tcPr>
          <w:p>
            <w:r>
              <w:t>M8 joint p = .167 n.s.</w:t>
            </w:r>
          </w:p>
        </w:tc>
      </w:tr>
      <w:tr>
        <w:tc>
          <w:tcPr>
            <w:tcW w:type="dxa" w:w="2340"/>
          </w:tcPr>
          <w:p>
            <w:r>
              <w:t>G. Manufacturing (sector1 ∈ {1,2,3})</w:t>
            </w:r>
          </w:p>
        </w:tc>
        <w:tc>
          <w:tcPr>
            <w:tcW w:type="dxa" w:w="2340"/>
          </w:tcPr>
          <w:p>
            <w:r>
              <w:t>1,854</w:t>
            </w:r>
          </w:p>
        </w:tc>
        <w:tc>
          <w:tcPr>
            <w:tcW w:type="dxa" w:w="2340"/>
          </w:tcPr>
          <w:p>
            <w:r>
              <w:t>TCI_z = 0.223 ***; DAI_z = 0.087 **; FSTS_c × DAI_z = −0.543 †</w:t>
            </w:r>
          </w:p>
        </w:tc>
        <w:tc>
          <w:tcPr>
            <w:tcW w:type="dxa" w:w="2340"/>
          </w:tcPr>
          <w:p>
            <w:r>
              <w:t>M8 joint p = .103 †</w:t>
            </w:r>
          </w:p>
        </w:tc>
      </w:tr>
      <w:tr>
        <w:tc>
          <w:tcPr>
            <w:tcW w:type="dxa" w:w="2340"/>
          </w:tcPr>
          <w:p>
            <w:r>
              <w:t>H. Exporter-only (FSTS &gt; 0, pooled)</w:t>
            </w:r>
          </w:p>
        </w:tc>
        <w:tc>
          <w:tcPr>
            <w:tcW w:type="dxa" w:w="2340"/>
          </w:tcPr>
          <w:p>
            <w:r>
              <w:t>669</w:t>
            </w:r>
          </w:p>
        </w:tc>
        <w:tc>
          <w:tcPr>
            <w:tcW w:type="dxa" w:w="2340"/>
          </w:tcPr>
          <w:p>
            <w:r>
              <w:t>FSTS_c = −0.861 ***; FSTS_c² = −0.200 n.s.</w:t>
            </w:r>
          </w:p>
        </w:tc>
        <w:tc>
          <w:tcPr>
            <w:tcW w:type="dxa" w:w="2340"/>
          </w:tcPr>
          <w:p>
            <w:r>
              <w:t>M8 joint p = .462 n.s.</w:t>
            </w:r>
          </w:p>
        </w:tc>
      </w:tr>
      <w:tr>
        <w:tc>
          <w:tcPr>
            <w:tcW w:type="dxa" w:w="2340"/>
          </w:tcPr>
          <w:p>
            <w:r>
              <w:t>I. Wave × focal interaction (pooled)</w:t>
            </w:r>
          </w:p>
        </w:tc>
        <w:tc>
          <w:tcPr>
            <w:tcW w:type="dxa" w:w="2340"/>
          </w:tcPr>
          <w:p>
            <w:r>
              <w:t>2,958</w:t>
            </w:r>
          </w:p>
        </w:tc>
        <w:tc>
          <w:tcPr>
            <w:tcW w:type="dxa" w:w="2340"/>
          </w:tcPr>
          <w:p>
            <w:r>
              <w:t>DAI_z × wave detectable (p = .016); FSTS_c, FSTS_c², TCI_z × wave n.s.</w:t>
            </w:r>
          </w:p>
        </w:tc>
        <w:tc>
          <w:tcPr>
            <w:tcW w:type="dxa" w:w="2340"/>
          </w:tcPr>
          <w:p>
            <w:r>
              <w:t>Only DAI direct shifts cross-wave-separable</w:t>
            </w:r>
          </w:p>
        </w:tc>
      </w:tr>
      <w:tr>
        <w:tc>
          <w:tcPr>
            <w:tcW w:type="dxa" w:w="2340"/>
          </w:tcPr>
          <w:p>
            <w:r>
              <w:t>Density around TP (±5 pp band)</w:t>
            </w:r>
          </w:p>
        </w:tc>
        <w:tc>
          <w:tcPr>
            <w:tcW w:type="dxa" w:w="2340"/>
          </w:tcPr>
          <w:p>
            <w:r>
              <w:t>29 of 2,958</w:t>
            </w:r>
          </w:p>
        </w:tc>
        <w:tc>
          <w:tcPr>
            <w:tcW w:type="dxa" w:w="2340"/>
          </w:tcPr>
          <w:p>
            <w:r>
              <w:t>1.0 % of firms within band; bulk of mass at FSTS = 0</w:t>
            </w:r>
          </w:p>
        </w:tc>
        <w:tc>
          <w:tcPr>
            <w:tcW w:type="dxa" w:w="2340"/>
          </w:tcPr>
          <w:p>
            <w:r>
              <w:t>Curvature identified by participation margin</w:t>
            </w:r>
          </w:p>
        </w:tc>
      </w:tr>
    </w:tbl>
    <w:p>
      <w:pPr>
        <w:pStyle w:val="BodyText"/>
      </w:pPr>
      <w:r>
        <w:t>Notes. Each row summarises one robustness panel from §4.5 estimated by OLS with HC1 robust standard errors. Significance markers: *** p &lt; .001, ** p &lt; .01, * p &lt; .05, † p &lt; .10, n.s. = not significant. Panel E (Heckman / control function) and Panel F (Paternoster cross-wave z-tests) are reported in the prose because their natural presentation is per-sample rather than per-row. Source: World Bank Enterprise Surveys (https://www.enterprisesurveys.org); authors’ calculations. Full coefficient output: p4_vietnam/output/tables/table_3_robustness.csv.</w:t>
      </w:r>
    </w:p>
    <w:p>
      <w:pPr>
        <w:pStyle w:val="FirstParagraph"/>
      </w:pPr>
      <w:r>
        <w:t>Table LM reports the implied turning points of the inverted-U specification (M2) and the Lind–Mehlum p-values for each wave and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Sample</w:t>
            </w:r>
          </w:p>
        </w:tc>
        <w:tc>
          <w:tcPr>
            <w:tcW w:type="dxa" w:w="1872"/>
          </w:tcPr>
          <w:p>
            <w:r>
              <w:t>N</w:t>
            </w:r>
          </w:p>
        </w:tc>
        <w:tc>
          <w:tcPr>
            <w:tcW w:type="dxa" w:w="1872"/>
          </w:tcPr>
          <w:p>
            <w:r>
              <w:t>Turning point (raw FSTS)</w:t>
            </w:r>
          </w:p>
        </w:tc>
        <w:tc>
          <w:tcPr>
            <w:tcW w:type="dxa" w:w="1872"/>
          </w:tcPr>
          <w:p>
            <w:r>
              <w:t>95 % delta-method CI</w:t>
            </w:r>
          </w:p>
        </w:tc>
        <w:tc>
          <w:tcPr>
            <w:tcW w:type="dxa" w:w="1872"/>
          </w:tcPr>
          <w:p>
            <w:r>
              <w:t>Lind–Mehlum p</w:t>
            </w:r>
          </w:p>
        </w:tc>
      </w:tr>
      <w:tr>
        <w:tc>
          <w:tcPr>
            <w:tcW w:type="dxa" w:w="1872"/>
          </w:tcPr>
          <w:p>
            <w:r>
              <w:t>VNM 2009</w:t>
            </w:r>
          </w:p>
        </w:tc>
        <w:tc>
          <w:tcPr>
            <w:tcW w:type="dxa" w:w="1872"/>
          </w:tcPr>
          <w:p>
            <w:r>
              <w:t>989</w:t>
            </w:r>
          </w:p>
        </w:tc>
        <w:tc>
          <w:tcPr>
            <w:tcW w:type="dxa" w:w="1872"/>
          </w:tcPr>
          <w:p>
            <w:r>
              <w:t>46.2 %</w:t>
            </w:r>
          </w:p>
        </w:tc>
        <w:tc>
          <w:tcPr>
            <w:tcW w:type="dxa" w:w="1872"/>
          </w:tcPr>
          <w:p>
            <w:r>
              <w:t>[37.4 %, 55.1 %]</w:t>
            </w:r>
          </w:p>
        </w:tc>
        <w:tc>
          <w:tcPr>
            <w:tcW w:type="dxa" w:w="1872"/>
          </w:tcPr>
          <w:p>
            <w:r>
              <w:t>.006</w:t>
            </w:r>
          </w:p>
        </w:tc>
      </w:tr>
      <w:tr>
        <w:tc>
          <w:tcPr>
            <w:tcW w:type="dxa" w:w="1872"/>
          </w:tcPr>
          <w:p>
            <w:r>
              <w:t>VNM 2015</w:t>
            </w:r>
          </w:p>
        </w:tc>
        <w:tc>
          <w:tcPr>
            <w:tcW w:type="dxa" w:w="1872"/>
          </w:tcPr>
          <w:p>
            <w:r>
              <w:t>956</w:t>
            </w:r>
          </w:p>
        </w:tc>
        <w:tc>
          <w:tcPr>
            <w:tcW w:type="dxa" w:w="1872"/>
          </w:tcPr>
          <w:p>
            <w:r>
              <w:t>39.3 %</w:t>
            </w:r>
          </w:p>
        </w:tc>
        <w:tc>
          <w:tcPr>
            <w:tcW w:type="dxa" w:w="1872"/>
          </w:tcPr>
          <w:p>
            <w:r>
              <w:t>[30.3 %, 48.4 %]</w:t>
            </w:r>
          </w:p>
        </w:tc>
        <w:tc>
          <w:tcPr>
            <w:tcW w:type="dxa" w:w="1872"/>
          </w:tcPr>
          <w:p>
            <w:r>
              <w:t>.009</w:t>
            </w:r>
          </w:p>
        </w:tc>
      </w:tr>
      <w:tr>
        <w:tc>
          <w:tcPr>
            <w:tcW w:type="dxa" w:w="1872"/>
          </w:tcPr>
          <w:p>
            <w:r>
              <w:t>VNM 2023</w:t>
            </w:r>
          </w:p>
        </w:tc>
        <w:tc>
          <w:tcPr>
            <w:tcW w:type="dxa" w:w="1872"/>
          </w:tcPr>
          <w:p>
            <w:r>
              <w:t>1,013</w:t>
            </w:r>
          </w:p>
        </w:tc>
        <w:tc>
          <w:tcPr>
            <w:tcW w:type="dxa" w:w="1872"/>
          </w:tcPr>
          <w:p>
            <w:r>
              <w:t>41.6 %</w:t>
            </w:r>
          </w:p>
        </w:tc>
        <w:tc>
          <w:tcPr>
            <w:tcW w:type="dxa" w:w="1872"/>
          </w:tcPr>
          <w:p>
            <w:r>
              <w:t>[31.7 %, 51.5 %]</w:t>
            </w:r>
          </w:p>
        </w:tc>
        <w:tc>
          <w:tcPr>
            <w:tcW w:type="dxa" w:w="1872"/>
          </w:tcPr>
          <w:p>
            <w:r>
              <w:t>.013</w:t>
            </w:r>
          </w:p>
        </w:tc>
      </w:tr>
      <w:tr>
        <w:tc>
          <w:tcPr>
            <w:tcW w:type="dxa" w:w="1872"/>
          </w:tcPr>
          <w:p>
            <w:r>
              <w:t>VNM pooled</w:t>
            </w:r>
          </w:p>
        </w:tc>
        <w:tc>
          <w:tcPr>
            <w:tcW w:type="dxa" w:w="1872"/>
          </w:tcPr>
          <w:p>
            <w:r>
              <w:t>2,958</w:t>
            </w:r>
          </w:p>
        </w:tc>
        <w:tc>
          <w:tcPr>
            <w:tcW w:type="dxa" w:w="1872"/>
          </w:tcPr>
          <w:p>
            <w:r>
              <w:t>39.7 %</w:t>
            </w:r>
          </w:p>
        </w:tc>
        <w:tc>
          <w:tcPr>
            <w:tcW w:type="dxa" w:w="1872"/>
          </w:tcPr>
          <w:p>
            <w:r>
              <w:t>[34.0 %, 45.5 %]</w:t>
            </w:r>
          </w:p>
        </w:tc>
        <w:tc>
          <w:tcPr>
            <w:tcW w:type="dxa" w:w="1872"/>
          </w:tcPr>
          <w:p>
            <w:r>
              <w:t>&lt; .001</w:t>
            </w:r>
          </w:p>
        </w:tc>
      </w:tr>
    </w:tbl>
    <w:p>
      <w:pPr>
        <w:pStyle w:val="BodyText"/>
      </w:pPr>
      <w:r>
        <w:t>Notes. Turning points are derived from the M2 inverted-U specification (lnLP = β₀ + β₁ FSTS_c + β₂ FSTS_c² + controls + sector FE [+ wave FE in pooled]) and back-transformed to the raw FSTS scale. 95 % confidence intervals use the delta method on the within-sample FSTSc range. Lind–Mehlum p-values follow the Sasabuchi-style endpoint test for an inverted-U over the observed FSTS range. Source: World Bank Enterprise Surveys (https://www.enterprisesurveys.org); authors’ calculations.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5.2.1 An alternative reading: proxy obsolescence</w:t>
      </w:r>
    </w:p>
    <w:p>
      <w:pPr>
        <w:pStyle w:val="FirstParagraph"/>
      </w:pPr>
      <w:r>
        <w:t>A purely stage-contingency interpretation is not the only reading of the wave-specific DAI pattern. An alternative — and to a degree complementary — explanation is proxy obsolescence: the c22b indicator of website ownership measures something different in 2009, 2015 and 2023 even though the question text is identical across waves. In 2009, having a corporate website was a relatively distinguishing market interface that signalled basic digital legitimacy in international transactions; by 2023, a website is closer to a routine marker of basic digital presence shared across exporting and non-exporting firms alike. Under this reading, the falling DAI direct association across waves partly reflects the shrinking informational content of c22b rather than a structural change in the productivity payoff to foundational digital adoption itself. We do not view proxy obsolescence and stage contingency as mutually exclusive: both can be operating jointly. We flag the proxy-obsolescence reading because it is not testable within the cross-wave-comparable WBES instrument and future work using waves with richer Tier 2–3 digital items will be needed to disentangle the two channels.</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 digital-adoption channel operates primarily in manufacturing while the technological-capability channel is present in both. Finer industry-level mechanisms — for example, contrasting digitally intensive services with traditional services, or contrasting export-oriented with domestically oriented manufacturing sub-sectors — would benefit from a research design that exploits richer industry classification than the WBES one-digit codes allow.</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Conflict of interest</w:t>
      </w:r>
    </w:p>
    <w:p>
      <w:pPr>
        <w:pStyle w:val="FirstParagraph"/>
      </w:pPr>
      <w:r>
        <w:t>The authors declare no conflict of interest.</w:t>
      </w:r>
    </w:p>
    <w:p>
      <w:pPr>
        <w:pStyle w:val="Heading1"/>
      </w:pPr>
      <w:r>
        <w:t>Funding</w:t>
      </w:r>
    </w:p>
    <w:p>
      <w:pPr>
        <w:pStyle w:val="FirstParagraph"/>
      </w:pPr>
      <w:r>
        <w:t>This research received no specific grant from any funding agency in the public, commercial, or not-for-profit sectors.</w:t>
      </w:r>
    </w:p>
    <w:p>
      <w:pPr>
        <w:pStyle w:val="Heading1"/>
      </w:pPr>
      <w:r>
        <w:t>Data availability statement</w:t>
      </w:r>
    </w:p>
    <w:p>
      <w:pPr>
        <w:pStyle w:val="FirstParagraph"/>
      </w:pPr>
      <w:r>
        <w:t>The data that support the findings of this study are from the World Bank Enterprise Surveys and are available from the World Bank Enterprise Surveys portal,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Acknowledgements</w:t>
      </w:r>
    </w:p>
    <w:p>
      <w:pPr>
        <w:pStyle w:val="FirstParagraph"/>
      </w:pPr>
      <w:r>
        <w:t>This study uses data from the World Bank Enterprise Surveys. We thank the Enterprise Analysis Unit of the Development Economics Global Indicators Group of the World Bank for providing access to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 The replication package accompanying this manuscript was developed to support methodological transparency and computational reproducibility.</w:t>
      </w:r>
    </w:p>
    <w:p>
      <w:pPr>
        <w:pStyle w:val="Heading1"/>
      </w:pPr>
      <w:r>
        <w:t>Supplementary materials</w:t>
      </w:r>
    </w:p>
    <w:p>
      <w:pPr>
        <w:pStyle w:val="FirstParagraph"/>
      </w:pPr>
      <w:r>
        <w:t>All figures and tables in the manuscript are embedded inline. The underlying coefficient outputs are also distributed as plain CSV files in the replication package for downstream re-analysis: tables/table_1_descriptives.csv (Table 1), tables/coefs_main_models.csv (M0–M8 long-format coefficient table), tables/joint_tests_main_models.csv (H2 and P1 joint F-tests), tables/table_lind_mehlum.csv (Table LM source), tables/table_3_robustness.csv (Table 3 panels A–D + G), tables/selection_checks.csv (Heckman / control function), and tables/table_paternoster.csv (cross-wave z-tests).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Vol. 21 No. 6, pp. 1086-1120.</w:t>
      </w:r>
    </w:p>
    <w:p>
      <w:pPr>
        <w:pStyle w:val="BodyText"/>
      </w:pPr>
      <w:r>
        <w:t>Banalieva, E.R. and Dhanaraj, C. (2019), "Internalization theory for the digital economy", Journal of International Business Studies, Vol. 50 No. 8, pp. 1372-1387.</w:t>
      </w:r>
    </w:p>
    <w:p>
      <w:pPr>
        <w:pStyle w:val="BodyText"/>
      </w:pPr>
      <w:r>
        <w:t>Bharadwaj, A., El Sawy, O.A., Pavlou, P.A. and Venkatraman, N. (2013), "Digital business strategy: Toward a next generation of insights", MIS Quarterly, Vol. 37 No. 2, pp. 471-482.</w:t>
      </w:r>
    </w:p>
    <w:p>
      <w:pPr>
        <w:pStyle w:val="BodyText"/>
      </w:pPr>
      <w:r>
        <w:t>Brynjolfsson, E., Rock, D. and Syverson, C. (2021), "The productivity J-curve: How intangibles complement general purpose technologies", American Economic Journal: Macroeconomics, Vol. 13 No. 1, pp. 333-372.</w:t>
      </w:r>
    </w:p>
    <w:p>
      <w:pPr>
        <w:pStyle w:val="BodyText"/>
      </w:pPr>
      <w:r>
        <w:t>Cohen, W.M. and Levinthal, D.A. (1990), "Absorptive capacity: A new perspective on learning and innovation", Administrative Science Quarterly, Vol. 35 No. 1, pp. 128-152.</w:t>
      </w:r>
    </w:p>
    <w:p>
      <w:pPr>
        <w:pStyle w:val="BodyText"/>
      </w:pPr>
      <w:r>
        <w:t>Coviello, N., Kano, L. and Liesch, P.W. (2017), "Adapting the Uppsala model to a modern world: Macro-context and microfoundations", Journal of International Business Studies, Vol. 48 No. 9, pp. 1151-1164.</w:t>
      </w:r>
    </w:p>
    <w:p>
      <w:pPr>
        <w:pStyle w:val="BodyText"/>
      </w:pPr>
      <w:r>
        <w:t>Cuervo-Cazurra, A. and Genc, M. (2008), "Transforming disadvantages into advantages: Developing-country MNEs in the least developed countries", Journal of International Business Studies, Vol. 39 No. 6, pp. 957-979.</w:t>
      </w:r>
    </w:p>
    <w:p>
      <w:pPr>
        <w:pStyle w:val="BodyText"/>
      </w:pPr>
      <w:r>
        <w:t>Heckman, J.J. (1979), "Sample selection bias as a specification error", Econometrica, Vol. 47 No. 1, pp. 153-161.</w:t>
      </w:r>
    </w:p>
    <w:p>
      <w:pPr>
        <w:pStyle w:val="BodyText"/>
      </w:pPr>
      <w:r>
        <w:t>Hanelt, A., Bohnsack, R., Marz, D. and Antunes Marante, C. (2021), "A systematic review of the literature on digital transformation: Insights and implications for strategy and organizational change", Journal of Management Studies, Vol. 58 No. 5, pp. 1159-1197.</w:t>
      </w:r>
    </w:p>
    <w:p>
      <w:pPr>
        <w:pStyle w:val="BodyText"/>
      </w:pPr>
      <w:r>
        <w:t>Helfat, C.E. and Peteraf, M.A. (2003), "The dynamic resource-based view: Capability lifecycles", Strategic Management Journal, Vol. 24 No. 10, pp. 997-1010.</w:t>
      </w:r>
    </w:p>
    <w:p>
      <w:pPr>
        <w:pStyle w:val="BodyText"/>
      </w:pPr>
      <w:r>
        <w:t>Hennart, J.-F. (2007), "The theoretical rationale for a multinationality–performance relationship", Management International Review, Vol. 47 No. 3, pp. 423-452.</w:t>
      </w:r>
    </w:p>
    <w:p>
      <w:pPr>
        <w:pStyle w:val="BodyText"/>
      </w:pPr>
      <w:r>
        <w:t>Lall, S. (1992), "Technological capabilities and industrialization", World Development, Vol. 20 No. 2, pp. 165-186.</w:t>
      </w:r>
    </w:p>
    <w:p>
      <w:pPr>
        <w:pStyle w:val="BodyText"/>
      </w:pPr>
      <w:r>
        <w:t>Lind, J.T. and Mehlum, H. (2010), "With or without U? The appropriate test for a U-shaped relationship", Oxford Bulletin of Economics and Statistics, Vol. 72 No. 1, pp. 109-118.</w:t>
      </w:r>
    </w:p>
    <w:p>
      <w:pPr>
        <w:pStyle w:val="BodyText"/>
      </w:pPr>
      <w:r>
        <w:t>Lu, J.W. and Beamish, P.W. (2004), "International diversification and firm performance: The S-curve hypothesis", Academy of Management Journal, Vol. 47 No. 4, pp. 598-609.</w:t>
      </w:r>
    </w:p>
    <w:p>
      <w:pPr>
        <w:pStyle w:val="BodyText"/>
      </w:pPr>
      <w:r>
        <w:t>Marano, V., Arregle, J.-L., Hitt, M.A., Spadafora, E. and van Essen, M. (2016), "Home country institutions and the internationalization–performance relationship: A meta-analytic review", Journal of Management, Vol. 42 No. 5, pp. 1075-1110.</w:t>
      </w:r>
    </w:p>
    <w:p>
      <w:pPr>
        <w:pStyle w:val="BodyText"/>
      </w:pPr>
      <w:r>
        <w:t>Nambisan, S., Wright, M. and Feldman, M. (2019), "The digital transformation of innovation and entrepreneurship: Progress, challenges and key themes", Research Policy, Vol. 48 No. 8, article 103773.</w:t>
      </w:r>
    </w:p>
    <w:p>
      <w:pPr>
        <w:pStyle w:val="BodyText"/>
      </w:pPr>
      <w:r>
        <w:t>Paternoster, R., Brame, R., Mazerolle, P. and Piquero, A. (1998), "Using the correct statistical test for the equality of regression coefficients", Criminology, Vol. 36 No. 4, pp. 859-866.</w:t>
      </w:r>
    </w:p>
    <w:p>
      <w:pPr>
        <w:pStyle w:val="BodyText"/>
      </w:pPr>
      <w:r>
        <w:t>Teece, D.J. (2007), "Explicating dynamic capabilities: The nature and microfoundations of (sustainable) enterprise performance", Strategic Management Journal, Vol. 28 No. 13, pp. 1319-1350.</w:t>
      </w:r>
    </w:p>
    <w:p>
      <w:pPr>
        <w:pStyle w:val="BodyText"/>
      </w:pPr>
      <w:r>
        <w:t>Verhoef, P.C., Broekhuizen, T., Bart, Y., Bhattacharya, A., Dong, J.Q., Fabian, N. and Haenlein, M. (2021), "Digital transformation: A multidisciplinary reflection and research agenda", Journal of Business Research, Vol. 122, pp. 889-901.</w:t>
      </w:r>
    </w:p>
    <w:p>
      <w:pPr>
        <w:pStyle w:val="BodyText"/>
      </w:pPr>
      <w:r>
        <w:t>Vial, G. (2019), "Understanding digital transformation: A review and a research agenda", Journal of Strategic Information Systems, Vol. 28 No. 2, pp. 118-144.</w:t>
      </w:r>
    </w:p>
    <w:p>
      <w:pPr>
        <w:pStyle w:val="BodyText"/>
      </w:pPr>
      <w:r>
        <w:t>Vernon, R. (1979), "The product cycle hypothesis in a new international environment", Oxford Bulletin of Economics and Statistics, Vol. 41 No. 4, pp. 255-267.</w:t>
      </w:r>
    </w:p>
    <w:p>
      <w:pPr>
        <w:pStyle w:val="BodyText"/>
      </w:pPr>
      <w:r>
        <w:t>Wagner, J. (2007), "Exports and productivity: A survey of the evidence from firm-level data", The World Economy, Vol. 30 No. 1, pp. 60-82.</w:t>
      </w:r>
    </w:p>
    <w:p>
      <w:pPr>
        <w:pStyle w:val="BodyText"/>
      </w:pPr>
      <w:r>
        <w:t>Wooldridge, J.M. (2010), Econometric Analysis of Cross Section and Panel Data, 2nd ed., MIT Press, Cambridge, MA.</w:t>
      </w:r>
    </w:p>
    <w:p>
      <w:pPr>
        <w:pStyle w:val="BodyText"/>
      </w:pPr>
      <w:r>
        <w:t>World Bank (2010), Vietnam Enterprise Survey 2009: Data file, World Bank Enterprise Surveys, available at: https://www.enterprisesurveys.org</w:t>
      </w:r>
    </w:p>
    <w:p>
      <w:pPr>
        <w:pStyle w:val="BodyText"/>
      </w:pPr>
      <w:r>
        <w:t>World Bank (2016), Vietnam Enterprise Survey 2015: Data file, World Bank Enterprise Surveys, available at: https://www.enterprisesurveys.org</w:t>
      </w:r>
    </w:p>
    <w:p>
      <w:pPr>
        <w:pStyle w:val="BodyText"/>
      </w:pPr>
      <w:r>
        <w:t>World Bank (2024), Vietnam Enterprise Survey 2023: Data file, World Bank Enterprise Surveys, available at: https://www.enterprisesurveys.org</w:t>
      </w:r>
    </w:p>
    <w:p>
      <w:pPr>
        <w:pStyle w:val="BodyText"/>
      </w:pPr>
      <w:r>
        <w:t>Wright, M., Filatotchev, I., Hoskisson, R.E. and Peng, M.W. (2005), "Strategy research in emerging economies: Challenging the conventional wisdom", Journal of Management Studies, Vol. 42 No. 1, pp. 1-33.</w:t>
      </w:r>
    </w:p>
    <w:p>
      <w:pPr>
        <w:pStyle w:val="BodyText"/>
      </w:pPr>
      <w:r>
        <w:t>Wu, J., Wang, C., Hong, J., Piperopoulos, P. and Zhuo, S. (2016), "Internationalization and innovation performance of emerging market enterprises: The role of host-country institutional development", Journal of World Business, Vol. 51 No. 2, pp. 251-263.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