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spacing w:after="480" w:line="360" w:lineRule="auto"/><w:jc w:val="center"/><w:rPr/></w:pPr><w:r w:rsidDel="00000000" w:rsidR="00000000" w:rsidRPr="00000000"><w:rPr><w:rFonts w:ascii="Times New Roman" w:cs="Times New Roman" w:eastAsia="Times New Roman" w:hAnsi="Times New Roman"/><w:b w:val="1"/><w:bCs w:val="1"/><w:sz w:val="26"/><w:szCs w:val="26"/><w:rtl w:val="0"/></w:rPr><w:t xml:space="preserve">Technological Capability, Digital Adoption, and the Internationalization–Performance Relationship in Singapore</w:t></w:r><w:r w:rsidDel="00000000" w:rsidR="00000000" w:rsidRPr="00000000"><w:rPr><w:rtl w:val="0"/></w:rPr></w:r></w:p><w:p w:rsidR="00000000" w:rsidDel="00000000" w:rsidP="00000000" w:rsidRDefault="00000000" w:rsidRPr="00000000" w14:paraId="00000002"><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Abstract</w:t></w:r><w:r w:rsidDel="00000000" w:rsidR="00000000" w:rsidRPr="00000000"><w:rPr><w:rtl w:val="0"/></w:rPr></w:r></w:p><w:p w:rsidR="00000000" w:rsidDel="00000000" w:rsidP="00000000" w:rsidRDefault="00000000" w:rsidRPr="00000000" w14:paraId="00000003"><w:pPr><w:spacing w:after="0" w:line="480" w:lineRule="auto"/><w:jc w:val="both"/><w:rPr/></w:pPr><w:r w:rsidDel="00000000" w:rsidR="00000000" w:rsidRPr="00000000"><w:rPr><w:rFonts w:ascii="Times New Roman" w:cs="Times New Roman" w:eastAsia="Times New Roman" w:hAnsi="Times New Roman"/><w:sz w:val="20"/><w:szCs w:val="20"/><w:rtl w:val="0"/></w:rPr><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w:r><w:r w:rsidDel="00000000" w:rsidR="00000000" w:rsidRPr="00000000"><w:rPr><w:rtl w:val="0"/></w:rPr></w:r></w:p><w:p w:rsidR="00000000" w:rsidDel="00000000" w:rsidP="00000000" w:rsidRDefault="00000000" w:rsidRPr="00000000" w14:paraId="00000004"><w:pPr><w:spacing w:after="120" w:line="480" w:lineRule="auto"/><w:jc w:val="left"/><w:rPr/></w:pPr><w:r w:rsidDel="00000000" w:rsidR="00000000" w:rsidRPr="00000000"><w:rPr><w:rtl w:val="0"/></w:rPr></w:r></w:p><w:p w:rsidR="00000000" w:rsidDel="00000000" w:rsidP="00000000" w:rsidRDefault="00000000" w:rsidRPr="00000000" w14:paraId="00000005"><w:pPr><w:spacing w:after="0" w:line="480" w:lineRule="auto"/><w:jc w:val="left"/><w:rPr/></w:pPr><w:r w:rsidDel="00000000" w:rsidR="00000000" w:rsidRPr="00000000"><w:rPr><w:rFonts w:ascii="Times New Roman" w:cs="Times New Roman" w:eastAsia="Times New Roman" w:hAnsi="Times New Roman"/><w:b w:val="1"/><w:bCs w:val="1"/><w:sz w:val="20"/><w:szCs w:val="20"/><w:rtl w:val="0"/></w:rPr><w:t xml:space="preserve">Keywords: internationalization–performance; digital adoption; technological capability; boundary conditions; World Bank Enterprise Survey</w:t></w:r><w:r w:rsidDel="00000000" w:rsidR="00000000" w:rsidRPr="00000000"><w:rPr><w:rtl w:val="0"/></w:rPr></w:r></w:p><w:p w:rsidR="00000000" w:rsidDel="00000000" w:rsidP="00000000" w:rsidRDefault="00000000" w:rsidRPr="00000000" w14:paraId="00000006"><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1 Introduction</w:t></w:r><w:r w:rsidDel="00000000" w:rsidR="00000000" w:rsidRPr="00000000"><w:rPr><w:rtl w:val="0"/></w:rPr></w:r></w:p><w:p w:rsidR="00000000" w:rsidDel="00000000" w:rsidP="00000000" w:rsidRDefault="00000000" w:rsidRPr="00000000" w14:paraId="00000007"><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1.1 Background and motivation</w:t></w:r><w:r w:rsidDel="00000000" w:rsidR="00000000" w:rsidRPr="00000000"><w:rPr><w:rtl w:val="0"/></w:rPr></w:r></w:p><w:p w:rsidR="00000000" w:rsidDel="00000000" w:rsidP="00000000" w:rsidRDefault="00000000" w:rsidRPr="00000000" w14:paraId="00000008"><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produced a family of nonlinear specifications — including inverted-U findings (Hitt et al., 1997) and three-stage S-curve formulations (Contractor et al., 2003; Lu &amp; Beamish, 2004) — that share a common claim that the marginal productivity returns to internationalization are not constant across the FSTS distribution; subsequent meta-analytic and review work has consolidated the inverted-U as the modal pattern across this literature (Marano et al., 2016). Both strands were developed largely on samples from pre-digital or transitional-digital economies and may not capture how the I–P curvature behaves when firms operate in a digitally mature institutional environment.</w:t></w:r><w:r w:rsidDel="00000000" w:rsidR="00000000" w:rsidRPr="00000000"><w:rPr><w:rtl w:val="0"/></w:rPr></w:r></w:p><w:p w:rsidR="00000000" w:rsidDel="00000000" w:rsidP="00000000" w:rsidRDefault="00000000" w:rsidRPr="00000000" w14:paraId="00000009"><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w:r><w:r w:rsidDel="00000000" w:rsidR="00000000" w:rsidRPr="00000000"><w:rPr><w:rtl w:val="0"/></w:rPr></w:r></w:p><w:p w:rsidR="00000000" w:rsidDel="00000000" w:rsidP="00000000" w:rsidRDefault="00000000" w:rsidRPr="00000000" w14:paraId="0000000A"><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1.2 Research gap</w:t></w:r><w:r w:rsidDel="00000000" w:rsidR="00000000" w:rsidRPr="00000000"><w:rPr><w:rtl w:val="0"/></w:rPr></w:r></w:p><w:p w:rsidR="00000000" w:rsidDel="00000000" w:rsidP="00000000" w:rsidRDefault="00000000" w:rsidRPr="00000000" w14:paraId="0000000B"><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work on digital internationalization has often taken the form of theoretical frameworks (Banalieva &amp; Dhanaraj, 2019; Stallkamp &amp; Schotter, 2021) or has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w:r><w:r w:rsidDel="00000000" w:rsidR="00000000" w:rsidRPr="00000000"><w:rPr><w:rtl w:val="0"/></w:rPr></w:r></w:p><w:p w:rsidR="00000000" w:rsidDel="00000000" w:rsidP="00000000" w:rsidRDefault="00000000" w:rsidRPr="00000000" w14:paraId="0000000C"><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1.3 Contribution</w:t></w:r><w:r w:rsidDel="00000000" w:rsidR="00000000" w:rsidRPr="00000000"><w:rPr><w:rtl w:val="0"/></w:rPr></w:r></w:p><w:p w:rsidR="00000000" w:rsidDel="00000000" w:rsidP="00000000" w:rsidRDefault="00000000" w:rsidRPr="00000000" w14:paraId="0000000D"><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w:r><w:r w:rsidDel="00000000" w:rsidR="00000000" w:rsidRPr="00000000"><w:rPr><w:rtl w:val="0"/></w:rPr></w:r></w:p><w:p w:rsidR="00000000" w:rsidDel="00000000" w:rsidP="00000000" w:rsidRDefault="00000000" w:rsidRPr="00000000" w14:paraId="0000000E"><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w:r><w:r w:rsidDel="00000000" w:rsidR="00000000" w:rsidRPr="00000000"><w:rPr><w:rtl w:val="0"/></w:rPr></w:r></w:p><w:p w:rsidR="00000000" w:rsidDel="00000000" w:rsidP="00000000" w:rsidRDefault="00000000" w:rsidRPr="00000000" w14:paraId="0000000F"><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w:r><w:r w:rsidDel="00000000" w:rsidR="00000000" w:rsidRPr="00000000"><w:rPr><w:rtl w:val="0"/></w:rPr></w:r></w:p><w:p w:rsidR="00000000" w:rsidDel="00000000" w:rsidP="00000000" w:rsidRDefault="00000000" w:rsidRPr="00000000" w14:paraId="00000010"><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1.4 Roadmap</w:t></w:r><w:r w:rsidDel="00000000" w:rsidR="00000000" w:rsidRPr="00000000"><w:rPr><w:rtl w:val="0"/></w:rPr></w:r></w:p><w:p w:rsidR="00000000" w:rsidDel="00000000" w:rsidP="00000000" w:rsidRDefault="00000000" w:rsidRPr="00000000" w14:paraId="00000011"><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Section 2 develops the theoretical framework and four hypotheses. Section 3 describes data and methods. Section 4 reports results. Section 5 discusses theoretical and managerial implications. Section 6 acknowledges limitations and future research directions.</w:t></w:r><w:r w:rsidDel="00000000" w:rsidR="00000000" w:rsidRPr="00000000"><w:rPr><w:rtl w:val="0"/></w:rPr></w:r></w:p><w:p w:rsidR="00000000" w:rsidDel="00000000" w:rsidP="00000000" w:rsidRDefault="00000000" w:rsidRPr="00000000" w14:paraId="00000012"><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2 Theory and Hypotheses</w:t></w:r><w:r w:rsidDel="00000000" w:rsidR="00000000" w:rsidRPr="00000000"><w:rPr><w:rtl w:val="0"/></w:rPr></w:r></w:p><w:p w:rsidR="00000000" w:rsidDel="00000000" w:rsidP="00000000" w:rsidRDefault="00000000" w:rsidRPr="00000000" w14:paraId="00000013"><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2.1 The internationalization–performance relationship</w:t></w:r><w:r w:rsidDel="00000000" w:rsidR="00000000" w:rsidRPr="00000000"><w:rPr><w:rtl w:val="0"/></w:rPr></w:r></w:p><w:p w:rsidR="00000000" w:rsidDel="00000000" w:rsidP="00000000" w:rsidRDefault="00000000" w:rsidRPr="00000000" w14:paraId="00000014"><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w:r><w:r w:rsidDel="00000000" w:rsidR="00000000" w:rsidRPr="00000000"><w:rPr><w:rtl w:val="0"/></w:rPr></w:r></w:p><w:p w:rsidR="00000000" w:rsidDel="00000000" w:rsidP="00000000" w:rsidRDefault="00000000" w:rsidRPr="00000000" w14:paraId="00000015"><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w:r><w:r w:rsidDel="00000000" w:rsidR="00000000" w:rsidRPr="00000000"><w:rPr><w:rtl w:val="0"/></w:rPr></w:r></w:p><w:p w:rsidR="00000000" w:rsidDel="00000000" w:rsidP="00000000" w:rsidRDefault="00000000" w:rsidRPr="00000000" w14:paraId="00000016"><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2.2 Two distinct constructs: TCI and DAI</w:t></w:r><w:r w:rsidDel="00000000" w:rsidR="00000000" w:rsidRPr="00000000"><w:rPr><w:rtl w:val="0"/></w:rPr></w:r></w:p><w:p w:rsidR="00000000" w:rsidDel="00000000" w:rsidP="00000000" w:rsidRDefault="00000000" w:rsidRPr="00000000" w14:paraId="00000017"><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w:r><w:r w:rsidDel="00000000" w:rsidR="00000000" w:rsidRPr="00000000"><w:rPr><w:rtl w:val="0"/></w:rPr></w:r></w:p><w:p w:rsidR="00000000" w:rsidDel="00000000" w:rsidP="00000000" w:rsidRDefault="00000000" w:rsidRPr="00000000" w14:paraId="00000018"><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w:r><w:r w:rsidDel="00000000" w:rsidR="00000000" w:rsidRPr="00000000"><w:rPr><w:rtl w:val="0"/></w:rPr></w:r></w:p><w:p w:rsidR="00000000" w:rsidDel="00000000" w:rsidP="00000000" w:rsidRDefault="00000000" w:rsidRPr="00000000" w14:paraId="00000019"><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Equally important, the label &quot;digital adoption&quot; is more defensible than &quot;digital capability&quot;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&quot;digital capability&quot; label would therefore overstate what the underlying indicators can legitimately support, whereas the DAI label improves construct validity by aligning the variable name with the actual content domain of the observed measures.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w:r><w:r w:rsidDel="00000000" w:rsidR="00000000" w:rsidRPr="00000000"><w:rPr><w:rtl w:val="0"/></w:rPr></w:r></w:p><w:p w:rsidR="00000000" w:rsidDel="00000000" w:rsidP="00000000" w:rsidRDefault="00000000" w:rsidRPr="00000000" w14:paraId="0000001A"><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2.3 Hypothesis development</w:t></w:r><w:r w:rsidDel="00000000" w:rsidR="00000000" w:rsidRPr="00000000"><w:rPr><w:rtl w:val="0"/></w:rPr></w:r></w:p><w:p w:rsidR="00000000" w:rsidDel="00000000" w:rsidP="00000000" w:rsidRDefault="00000000" w:rsidRPr="00000000" w14:paraId="0000001B"><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2.3.1 TCI direct effect on productivity</w:t></w:r><w:r w:rsidDel="00000000" w:rsidR="00000000" w:rsidRPr="00000000"><w:rPr><w:rtl w:val="0"/></w:rPr></w:r></w:p><w:p w:rsidR="00000000" w:rsidDel="00000000" w:rsidP="00000000" w:rsidRDefault="00000000" w:rsidRPr="00000000" w14:paraId="0000001C"><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w:r><w:r w:rsidDel="00000000" w:rsidR="00000000" w:rsidRPr="00000000"><w:rPr><w:rtl w:val="0"/></w:rPr></w:r></w:p><w:p w:rsidR="00000000" w:rsidDel="00000000" w:rsidP="00000000" w:rsidRDefault="00000000" w:rsidRPr="00000000" w14:paraId="0000001D"><w:pPr><w:spacing w:after="240" w:before="240" w:line="480" w:lineRule="auto"/><w:ind w:left="720" w:right="720" w:firstLine="0"/><w:jc w:val="both"/><w:rPr/></w:pPr><w:r w:rsidDel="00000000" w:rsidR="00000000" w:rsidRPr="00000000"><w:rPr><w:rFonts w:ascii="Times New Roman" w:cs="Times New Roman" w:eastAsia="Times New Roman" w:hAnsi="Times New Roman"/><w:b w:val="1"/><w:bCs w:val="1"/><w:sz w:val="20"/><w:szCs w:val="20"/><w:rtl w:val="0"/></w:rPr><w:t xml:space="preserve">Hypothesis 1 (H1). </w:t></w:r><w:r w:rsidDel="00000000" w:rsidR="00000000" w:rsidRPr="00000000"><w:rPr><w:rFonts w:ascii="Times New Roman" w:cs="Times New Roman" w:eastAsia="Times New Roman" w:hAnsi="Times New Roman"/><w:i w:val="1"/><w:iCs w:val="1"/><w:sz w:val="20"/><w:szCs w:val="20"/><w:rtl w:val="0"/></w:rPr><w:t xml:space="preserve">Technological capability (TCI) is positively associated with firm performance in Singapore.</w:t></w:r><w:r w:rsidDel="00000000" w:rsidR="00000000" w:rsidRPr="00000000"><w:rPr><w:rtl w:val="0"/></w:rPr></w:r></w:p><w:p w:rsidR="00000000" w:rsidDel="00000000" w:rsidP="00000000" w:rsidRDefault="00000000" w:rsidRPr="00000000" w14:paraId="0000001E"><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2.3.2 TCI moderation of the I–P relationship</w:t></w:r><w:r w:rsidDel="00000000" w:rsidR="00000000" w:rsidRPr="00000000"><w:rPr><w:rtl w:val="0"/></w:rPr></w:r></w:p><w:p w:rsidR="00000000" w:rsidDel="00000000" w:rsidP="00000000" w:rsidRDefault="00000000" w:rsidRPr="00000000" w14:paraId="0000001F"><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w:r><w:r w:rsidDel="00000000" w:rsidR="00000000" w:rsidRPr="00000000"><w:rPr><w:rtl w:val="0"/></w:rPr></w:r></w:p><w:p w:rsidR="00000000" w:rsidDel="00000000" w:rsidP="00000000" w:rsidRDefault="00000000" w:rsidRPr="00000000" w14:paraId="00000020"><w:pPr><w:spacing w:after="240" w:before="240" w:line="480" w:lineRule="auto"/><w:ind w:left="720" w:right="720" w:firstLine="0"/><w:jc w:val="both"/><w:rPr/></w:pPr><w:r w:rsidDel="00000000" w:rsidR="00000000" w:rsidRPr="00000000"><w:rPr><w:rFonts w:ascii="Times New Roman" w:cs="Times New Roman" w:eastAsia="Times New Roman" w:hAnsi="Times New Roman"/><w:b w:val="1"/><w:bCs w:val="1"/><w:sz w:val="20"/><w:szCs w:val="20"/><w:rtl w:val="0"/></w:rPr><w:t xml:space="preserve">Hypothesis 2 (H2). </w:t></w:r><w:r w:rsidDel="00000000" w:rsidR="00000000" w:rsidRPr="00000000"><w:rPr><w:rFonts w:ascii="Times New Roman" w:cs="Times New Roman" w:eastAsia="Times New Roman" w:hAnsi="Times New Roman"/><w:i w:val="1"/><w:iCs w:val="1"/><w:sz w:val="20"/><w:szCs w:val="20"/><w:rtl w:val="0"/></w:rPr><w:t xml:space="preserve">The TCI–productivity association in Singapore operates predominantly as a level-shift effect on the productivity intercept rather than as a curvature-shaping moderator of the internationalization–performance relationship.</w:t></w:r><w:r w:rsidDel="00000000" w:rsidR="00000000" w:rsidRPr="00000000"><w:rPr><w:rtl w:val="0"/></w:rPr></w:r></w:p><w:p w:rsidR="00000000" w:rsidDel="00000000" w:rsidP="00000000" w:rsidRDefault="00000000" w:rsidRPr="00000000" w14:paraId="00000021"><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2.3.3 DAI direct effect on productivity</w:t></w:r><w:r w:rsidDel="00000000" w:rsidR="00000000" w:rsidRPr="00000000"><w:rPr><w:rtl w:val="0"/></w:rPr></w:r></w:p><w:p w:rsidR="00000000" w:rsidDel="00000000" w:rsidP="00000000" w:rsidRDefault="00000000" w:rsidRPr="00000000" w14:paraId="00000022"><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w:r><w:r w:rsidDel="00000000" w:rsidR="00000000" w:rsidRPr="00000000"><w:rPr><w:rtl w:val="0"/></w:rPr></w:r></w:p><w:p w:rsidR="00000000" w:rsidDel="00000000" w:rsidP="00000000" w:rsidRDefault="00000000" w:rsidRPr="00000000" w14:paraId="00000023"><w:pPr><w:spacing w:after="240" w:before="240" w:line="480" w:lineRule="auto"/><w:ind w:left="720" w:right="720" w:firstLine="0"/><w:jc w:val="both"/><w:rPr/></w:pPr><w:r w:rsidDel="00000000" w:rsidR="00000000" w:rsidRPr="00000000"><w:rPr><w:rFonts w:ascii="Times New Roman" w:cs="Times New Roman" w:eastAsia="Times New Roman" w:hAnsi="Times New Roman"/><w:b w:val="1"/><w:bCs w:val="1"/><w:sz w:val="20"/><w:szCs w:val="20"/><w:rtl w:val="0"/></w:rPr><w:t xml:space="preserve">Hypothesis 3 (H3). </w:t></w:r><w:r w:rsidDel="00000000" w:rsidR="00000000" w:rsidRPr="00000000"><w:rPr><w:rFonts w:ascii="Times New Roman" w:cs="Times New Roman" w:eastAsia="Times New Roman" w:hAnsi="Times New Roman"/><w:i w:val="1"/><w:iCs w:val="1"/><w:sz w:val="20"/><w:szCs w:val="20"/><w:rtl w:val="0"/></w:rPr><w:t xml:space="preserve">Digital adoption (DAI) is positively associated with firm performance in Singapore on average, with the magnitude of this association expected to vary systematically with the firm’s internationalization intensity (formally tested in H4).</w:t></w:r><w:r w:rsidDel="00000000" w:rsidR="00000000" w:rsidRPr="00000000"><w:rPr><w:rtl w:val="0"/></w:rPr></w:r></w:p><w:p w:rsidR="00000000" w:rsidDel="00000000" w:rsidP="00000000" w:rsidRDefault="00000000" w:rsidRPr="00000000" w14:paraId="00000024"><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2.3.4 DAI as a conditional complement to export intensity</w:t></w:r><w:r w:rsidDel="00000000" w:rsidR="00000000" w:rsidRPr="00000000"><w:rPr><w:rtl w:val="0"/></w:rPr></w:r></w:p><w:p w:rsidR="00000000" w:rsidDel="00000000" w:rsidP="00000000" w:rsidRDefault="00000000" w:rsidRPr="00000000" w14:paraId="00000025"><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w:r><w:r w:rsidDel="00000000" w:rsidR="00000000" w:rsidRPr="00000000"><w:rPr><w:rtl w:val="0"/></w:rPr></w:r></w:p><w:p w:rsidR="00000000" w:rsidDel="00000000" w:rsidP="00000000" w:rsidRDefault="00000000" w:rsidRPr="00000000" w14:paraId="00000026"><w:pPr><w:spacing w:after="240" w:before="240" w:line="480" w:lineRule="auto"/><w:ind w:left="720" w:right="720" w:firstLine="0"/><w:jc w:val="both"/><w:rPr/></w:pPr><w:r w:rsidDel="00000000" w:rsidR="00000000" w:rsidRPr="00000000"><w:rPr><w:rFonts w:ascii="Times New Roman" w:cs="Times New Roman" w:eastAsia="Times New Roman" w:hAnsi="Times New Roman"/><w:b w:val="1"/><w:bCs w:val="1"/><w:sz w:val="20"/><w:szCs w:val="20"/><w:rtl w:val="0"/></w:rPr><w:t xml:space="preserve">Hypothesis 4 (H4). </w:t></w:r><w:r w:rsidDel="00000000" w:rsidR="00000000" w:rsidRPr="00000000"><w:rPr><w:rFonts w:ascii="Times New Roman" w:cs="Times New Roman" w:eastAsia="Times New Roman" w:hAnsi="Times New Roman"/><w:i w:val="1"/><w:iCs w:val="1"/><w:sz w:val="20"/><w:szCs w:val="20"/><w:rtl w:val="0"/></w:rPr><w:t xml:space="preserve">The association between digital adoption (DAI) and firm performance becomes more positive at higher levels of export intensity in Singapore.</w:t></w:r><w:r w:rsidDel="00000000" w:rsidR="00000000" w:rsidRPr="00000000"><w:rPr><w:rtl w:val="0"/></w:rPr></w:r></w:p><w:p w:rsidR="00000000" w:rsidDel="00000000" w:rsidP="00000000" w:rsidRDefault="00000000" w:rsidRPr="00000000" w14:paraId="00000027"><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2.4 Conceptual model</w:t></w:r><w:r w:rsidDel="00000000" w:rsidR="00000000" w:rsidRPr="00000000"><w:rPr><w:rtl w:val="0"/></w:rPr></w:r></w:p><w:p w:rsidR="00000000" w:rsidDel="00000000" w:rsidP="00000000" w:rsidRDefault="00000000" w:rsidRPr="00000000" w14:paraId="00000028"><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w:r><w:r w:rsidDel="00000000" w:rsidR="00000000" w:rsidRPr="00000000"><w:rPr><w:rtl w:val="0"/></w:rPr></w:r></w:p><w:p w:rsidR="00000000" w:rsidDel="00000000" w:rsidP="00000000" w:rsidRDefault="00000000" w:rsidRPr="00000000" w14:paraId="00000029"><w:pPr><w:spacing w:after="120" w:before="240" w:lineRule="auto"/><w:jc w:val="center"/><w:rPr/></w:pPr><w:r w:rsidDel="00000000" w:rsidR="00000000" w:rsidRPr="00000000"><w:rPr/><w:drawing><wp:inline distB="0" distT="0" distL="0" distR="0"><wp:extent cx="5143500" cy="3429000"/><wp:effectExtent b="0" l="0" r="0" t="0"/><wp:docPr id="1" name="image3.png"/><a:graphic><a:graphicData uri="http://schemas.openxmlformats.org/drawingml/2006/picture"><pic:pic><pic:nvPicPr><pic:cNvPr id="0" name="image3.png"/><pic:cNvPicPr preferRelativeResize="0"/></pic:nvPicPr><pic:blipFill><a:blip r:embed="rId6"/><a:srcRect b="0" l="0" r="0" t="0"/><a:stretch><a:fillRect/></a:stretch></pic:blipFill><pic:spPr><a:xfrm><a:off x="0" y="0"/><a:ext cx="5143500" cy="3429000"/></a:xfrm><a:prstGeom prst="rect"/><a:ln/></pic:spPr></pic:pic></a:graphicData></a:graphic></wp:inline></w:drawing></w:r><w:r w:rsidDel="00000000" w:rsidR="00000000" w:rsidRPr="00000000"><w:rPr><w:rtl w:val="0"/></w:rPr></w:r></w:p><w:p w:rsidR="00000000" w:rsidDel="00000000" w:rsidP="00000000" w:rsidRDefault="00000000" w:rsidRPr="00000000" w14:paraId="0000002A"><w:pPr><w:spacing w:after="240" w:line="280" w:lineRule="auto"/><w:jc w:val="center"/><w:rPr/></w:pPr><w:r w:rsidDel="00000000" w:rsidR="00000000" w:rsidRPr="00000000"><w:rPr><w:rFonts w:ascii="Cardo" w:cs="Cardo" w:eastAsia="Cardo" w:hAnsi="Cardo"/><w:i w:val="1"/><w:iCs w:val="1"/><w:sz w:val="18"/><w:szCs w:val="18"/><w:rtl w:val="0"/></w:rPr><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w:r><w:r w:rsidDel="00000000" w:rsidR="00000000" w:rsidRPr="00000000"><w:rPr><w:rtl w:val="0"/></w:rPr></w:r></w:p><w:p w:rsidR="00000000" w:rsidDel="00000000" w:rsidP="00000000" w:rsidRDefault="00000000" w:rsidRPr="00000000" w14:paraId="0000002B"><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3 Methods</w:t></w:r><w:r w:rsidDel="00000000" w:rsidR="00000000" w:rsidRPr="00000000"><w:rPr><w:rtl w:val="0"/></w:rPr></w:r></w:p><w:p w:rsidR="00000000" w:rsidDel="00000000" w:rsidP="00000000" w:rsidRDefault="00000000" w:rsidRPr="00000000" w14:paraId="0000002C"><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3.1 Data</w:t></w:r><w:r w:rsidDel="00000000" w:rsidR="00000000" w:rsidRPr="00000000"><w:rPr><w:rtl w:val="0"/></w:rPr></w:r></w:p><w:p w:rsidR="00000000" w:rsidDel="00000000" w:rsidP="00000000" w:rsidRDefault="00000000" w:rsidRPr="00000000" w14:paraId="0000002D"><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w:r><w:r w:rsidDel="00000000" w:rsidR="00000000" w:rsidRPr="00000000"><w:rPr><w:rtl w:val="0"/></w:rPr></w:r></w:p><w:p w:rsidR="00000000" w:rsidDel="00000000" w:rsidP="00000000" w:rsidRDefault="00000000" w:rsidRPr="00000000" w14:paraId="0000002E"><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3.2 Variables</w:t></w:r><w:r w:rsidDel="00000000" w:rsidR="00000000" w:rsidRPr="00000000"><w:rPr><w:rtl w:val="0"/></w:rPr></w:r></w:p><w:p w:rsidR="00000000" w:rsidDel="00000000" w:rsidP="00000000" w:rsidRDefault="00000000" w:rsidRPr="00000000" w14:paraId="0000002F"><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3.2.1 Dependent variable</w:t></w:r><w:r w:rsidDel="00000000" w:rsidR="00000000" w:rsidRPr="00000000"><w:rPr><w:rtl w:val="0"/></w:rPr></w:r></w:p><w:p w:rsidR="00000000" w:rsidDel="00000000" w:rsidP="00000000" w:rsidRDefault="00000000" w:rsidRPr="00000000" w14:paraId="00000030"><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w:r><w:r w:rsidDel="00000000" w:rsidR="00000000" w:rsidRPr="00000000"><w:rPr><w:rtl w:val="0"/></w:rPr></w:r></w:p><w:p w:rsidR="00000000" w:rsidDel="00000000" w:rsidP="00000000" w:rsidRDefault="00000000" w:rsidRPr="00000000" w14:paraId="00000031"><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3.2.2 Focal independent variable</w:t></w:r><w:r w:rsidDel="00000000" w:rsidR="00000000" w:rsidRPr="00000000"><w:rPr><w:rtl w:val="0"/></w:rPr></w:r></w:p><w:p w:rsidR="00000000" w:rsidDel="00000000" w:rsidP="00000000" w:rsidRDefault="00000000" w:rsidRPr="00000000" w14:paraId="00000032"><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w:r><w:r w:rsidDel="00000000" w:rsidR="00000000" w:rsidRPr="00000000"><w:rPr><w:rtl w:val="0"/></w:rPr></w:r></w:p><w:p w:rsidR="00000000" w:rsidDel="00000000" w:rsidP="00000000" w:rsidRDefault="00000000" w:rsidRPr="00000000" w14:paraId="00000033"><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3.2.3 TCI and DAI composites</w:t></w:r><w:r w:rsidDel="00000000" w:rsidR="00000000" w:rsidRPr="00000000"><w:rPr><w:rtl w:val="0"/></w:rPr></w:r></w:p><w:p w:rsidR="00000000" w:rsidDel="00000000" w:rsidP="00000000" w:rsidRDefault="00000000" w:rsidRPr="00000000" w14:paraId="00000034"><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 Consistent with the Verhoef et al. (2021) hierarchy, these indicators capture Tier 1-2 digitalization only: website presence reflects basic digital presence, while customer- and supplier-side electronic payments reflect transactional digital use. They do not capture deeper digitally integrated organizational systems such as ERP, CRM, digitally integrated supply-chain management, or higher-order digital dynamic capabilities.</w:t></w:r><w:r w:rsidDel="00000000" w:rsidR="00000000" w:rsidRPr="00000000"><w:rPr><w:rtl w:val="0"/></w:rPr></w:r></w:p><w:p w:rsidR="00000000" w:rsidDel="00000000" w:rsidP="00000000" w:rsidRDefault="00000000" w:rsidRPr="00000000" w14:paraId="00000035"><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In particular, the website-only restriction in R1 provides a deliberately thin Tier 1 version of DAI against which the richer baseline composite can be evaluated; the baseline specification is therefore preferable not because it measures digital capability in a broad sense, but because it more fully captures the Tier 1-2 digital-adoption domain observable in WBES. All coefficients on TCI and DAI are interpreted per one-standard-deviation increase in the composite.</w:t></w:r><w:r w:rsidDel="00000000" w:rsidR="00000000" w:rsidRPr="00000000"><w:rPr><w:rtl w:val="0"/></w:rPr></w:r></w:p><w:p w:rsidR="00000000" w:rsidDel="00000000" w:rsidP="00000000" w:rsidRDefault="00000000" w:rsidRPr="00000000" w14:paraId="00000036"><w:pPr><w:spacing w:after="120" w:before="240" w:lineRule="auto"/><w:jc w:val="left"/><w:rPr/></w:pPr><w:r w:rsidDel="00000000" w:rsidR="00000000" w:rsidRPr="00000000"><w:rPr><w:rFonts w:ascii="Times New Roman" w:cs="Times New Roman" w:eastAsia="Times New Roman" w:hAnsi="Times New Roman"/><w:b w:val="1"/><w:bCs w:val="1"/><w:i w:val="1"/><w:iCs w:val="1"/><w:sz w:val="20"/><w:szCs w:val="20"/><w:rtl w:val="0"/></w:rPr><w:t xml:space="preserve">3.2.4 Controls</w:t></w:r><w:r w:rsidDel="00000000" w:rsidR="00000000" w:rsidRPr="00000000"><w:rPr><w:rtl w:val="0"/></w:rPr></w:r></w:p><w:p w:rsidR="00000000" w:rsidDel="00000000" w:rsidP="00000000" w:rsidRDefault="00000000" w:rsidRPr="00000000" w14:paraId="00000037"><w:pPr><w:spacing w:after="0" w:line="480" w:lineRule="auto"/><w:ind w:firstLine="720"/><w:jc w:val="both"/><w:rPr/></w:pPr><w:r w:rsidDel="00000000" w:rsidR="00000000" w:rsidRPr="00000000"><w:rPr><w:rFonts w:ascii="Gungsuh" w:cs="Gungsuh" w:eastAsia="Gungsuh" w:hAnsi="Gungsuh"/><w:sz w:val="20"/><w:szCs w:val="20"/><w:rtl w:val="0"/></w:rPr><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w:r><w:r w:rsidDel="00000000" w:rsidR="00000000" w:rsidRPr="00000000"><w:rPr><w:rtl w:val="0"/></w:rPr></w:r></w:p><w:p w:rsidR="00000000" w:rsidDel="00000000" w:rsidP="00000000" w:rsidRDefault="00000000" w:rsidRPr="00000000" w14:paraId="00000038"><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3.3 Estimation strategy and identification scope</w:t></w:r><w:r w:rsidDel="00000000" w:rsidR="00000000" w:rsidRPr="00000000"><w:rPr><w:rtl w:val="0"/></w:rPr></w:r></w:p><w:p w:rsidR="00000000" w:rsidDel="00000000" w:rsidP="00000000" w:rsidRDefault="00000000" w:rsidRPr="00000000" w14:paraId="00000039"><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DAI moderation (M4), and the full specification (M8). The equation below corresponds to the full model (M8); a supplementary TCI-moderation specification (M3), discussed in Section 4.3 but omitted from Table 2 for parsimony, replaces the DAI interaction block in this equation with the analogous TCI interaction terms (FSTS × TCI, FSTS² × TCI):</w:t></w:r><w:r w:rsidDel="00000000" w:rsidR="00000000" w:rsidRPr="00000000"><w:rPr><w:rtl w:val="0"/></w:rPr></w:r></w:p><w:p w:rsidR="00000000" w:rsidDel="00000000" w:rsidP="00000000" w:rsidRDefault="00000000" w:rsidRPr="00000000" w14:paraId="0000003A"><w:pPr><w:spacing w:after="120" w:line="480" w:lineRule="auto"/><w:jc w:val="left"/><w:rPr/></w:pPr><w:r w:rsidDel="00000000" w:rsidR="00000000" w:rsidRPr="00000000"><w:rPr><w:rFonts w:ascii="Times New Roman" w:cs="Times New Roman" w:eastAsia="Times New Roman" w:hAnsi="Times New Roman"/><w:i w:val="1"/><w:iCs w:val="1"/><w:sz w:val="20"/><w:szCs w:val="20"/><w:rtl w:val="0"/></w:rPr><w:t xml:space="preserve">ln(LP) = α + β₁·FSTS_c + β₂·FSTS_c² + β₃·TCI + β₄·DAI + β₅·(FSTS_c × DAI) + β₆·(FSTS_c² × DAI) + γ·controls + ε,</w:t></w:r><w:r w:rsidDel="00000000" w:rsidR="00000000" w:rsidRPr="00000000"><w:rPr><w:rtl w:val="0"/></w:rPr></w:r></w:p><w:p w:rsidR="00000000" w:rsidDel="00000000" w:rsidP="00000000" w:rsidRDefault="00000000" w:rsidRPr="00000000" w14:paraId="0000003B"><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w:r><w:r w:rsidDel="00000000" w:rsidR="00000000" w:rsidRPr="00000000"><w:rPr><w:rtl w:val="0"/></w:rPr></w:r></w:p><w:p w:rsidR="00000000" w:rsidDel="00000000" w:rsidP="00000000" w:rsidRDefault="00000000" w:rsidRPr="00000000" w14:paraId="0000003C"><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w:r><w:r w:rsidDel="00000000" w:rsidR="00000000" w:rsidRPr="00000000"><w:rPr><w:rtl w:val="0"/></w:rPr></w:r></w:p><w:p w:rsidR="00000000" w:rsidDel="00000000" w:rsidP="00000000" w:rsidRDefault="00000000" w:rsidRPr="00000000" w14:paraId="0000003D"><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4 Results</w:t></w:r><w:r w:rsidDel="00000000" w:rsidR="00000000" w:rsidRPr="00000000"><w:rPr><w:rtl w:val="0"/></w:rPr></w:r></w:p><w:p w:rsidR="00000000" w:rsidDel="00000000" w:rsidP="00000000" w:rsidRDefault="00000000" w:rsidRPr="00000000" w14:paraId="0000003E"><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4.1 Descriptive statistics</w:t></w:r><w:r w:rsidDel="00000000" w:rsidR="00000000" w:rsidRPr="00000000"><w:rPr><w:rtl w:val="0"/></w:rPr></w:r></w:p><w:p w:rsidR="00000000" w:rsidDel="00000000" w:rsidP="00000000" w:rsidRDefault="00000000" w:rsidRPr="00000000" w14:paraId="0000003F"><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w:r><w:r w:rsidDel="00000000" w:rsidR="00000000" w:rsidRPr="00000000"><w:rPr><w:rtl w:val="0"/></w:rPr></w:r></w:p><w:p w:rsidR="00000000" w:rsidDel="00000000" w:rsidP="00000000" w:rsidRDefault="00000000" w:rsidRPr="00000000" w14:paraId="00000040"><w:pPr><w:spacing w:after="120" w:line="480" w:lineRule="auto"/><w:jc w:val="left"/><w:rPr/></w:pPr><w:r w:rsidDel="00000000" w:rsidR="00000000" w:rsidRPr="00000000"><w:rPr><w:rFonts w:ascii="Times New Roman" w:cs="Times New Roman" w:eastAsia="Times New Roman" w:hAnsi="Times New Roman"/><w:b w:val="1"/><w:bCs w:val="1"/><w:sz w:val="20"/><w:szCs w:val="20"/><w:rtl w:val="0"/></w:rPr><w:t xml:space="preserve">Table 1. Descriptive statistics and pairwise correlations.</w:t></w:r><w:r w:rsidDel="00000000" w:rsidR="00000000" w:rsidRPr="00000000"><w:rPr><w:rtl w:val="0"/></w:rPr></w:r></w:p><w:tbl><w:tblPr><w:tblStyle w:val="Table1"/><w:tblW w:w="900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200"/><w:gridCol w:w="1100"/><w:gridCol w:w="1100"/><w:gridCol w:w="850"/><w:gridCol w:w="850"/><w:gridCol w:w="950"/><w:gridCol w:w="950"/><w:gridCol w:w="1000"/><w:tblGridChange w:id="0"><w:tblGrid><w:gridCol w:w="2200"/><w:gridCol w:w="1100"/><w:gridCol w:w="1100"/><w:gridCol w:w="850"/><w:gridCol w:w="850"/><w:gridCol w:w="950"/><w:gridCol w:w="950"/><w:gridCol w:w="1000"/></w:tblGrid></w:tblGridChange></w:tblGrid><w:tr><w:trPr><w:cantSplit w:val="1"/><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1"><w:pPr><w:spacing w:line="240" w:lineRule="auto"/><w:jc w:val="left"/><w:rPr/></w:pPr><w:r w:rsidDel="00000000" w:rsidR="00000000" w:rsidRPr="00000000"><w:rPr><w:rFonts w:ascii="Times New Roman" w:cs="Times New Roman" w:eastAsia="Times New Roman" w:hAnsi="Times New Roman"/><w:b w:val="1"/><w:bCs w:val="1"/><w:sz w:val="16"/><w:szCs w:val="16"/><w:rtl w:val="0"/></w:rPr><w:t xml:space="preserve">Panel A: Descriptive Statistics (N = 623)</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2"><w:pPr><w:spacing w:line="240" w:lineRule="auto"/><w:jc w:val="left"/><w:rPr/></w:pPr><w:r w:rsidDel="00000000" w:rsidR="00000000" w:rsidRPr="00000000"><w:rPr><w:rFonts w:ascii="Times New Roman" w:cs="Times New Roman" w:eastAsia="Times New Roman" w:hAnsi="Times New Roman"/><w:b w:val="1"/><w:bCs w:val="1"/><w:sz w:val="16"/><w:szCs w:val="16"/><w:rtl w:val="0"/></w:rPr><w:t xml:space="preserve">Variable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3"><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Mean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4"><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SD</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5"><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Min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6"><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Max</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7"><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p25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8"><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p50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49"><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p75</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A"><w:pPr><w:spacing w:line="240" w:lineRule="auto"/><w:jc w:val="left"/><w:rPr/></w:pPr><w:r w:rsidDel="00000000" w:rsidR="00000000" w:rsidRPr="00000000"><w:rPr><w:rFonts w:ascii="Times New Roman" w:cs="Times New Roman" w:eastAsia="Times New Roman" w:hAnsi="Times New Roman"/><w:b w:val="0"/><w:bCs w:val="0"/><w:sz w:val="16"/><w:szCs w:val="16"/><w:rtl w:val="0"/></w:rPr><w:t xml:space="preserve">Ln(Labour productivity)</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11.42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7.89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15.21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4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10.62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11.40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12.21</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2"><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0.045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0.144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A"><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FSTS²</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0.022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5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2"><w:pPr><w:spacing w:line="240" w:lineRule="auto"/><w:jc w:val="left"/><w:rPr/></w:pPr><w:r w:rsidDel="00000000" w:rsidR="00000000" w:rsidRPr="00000000"><w:rPr><w:rFonts w:ascii="Times New Roman" w:cs="Times New Roman" w:eastAsia="Times New Roman" w:hAnsi="Times New Roman"/><w:b w:val="0"/><w:bCs w:val="0"/><w:sz w:val="16"/><w:szCs w:val="16"/><w:rtl w:val="0"/></w:rPr><w:t xml:space="preserve">TCI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0.51</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A"><w:pPr><w:spacing w:line="240" w:lineRule="auto"/><w:jc w:val="left"/><w:rPr/></w:pPr><w:r w:rsidDel="00000000" w:rsidR="00000000" w:rsidRPr="00000000"><w:rPr><w:rFonts w:ascii="Times New Roman" w:cs="Times New Roman" w:eastAsia="Times New Roman" w:hAnsi="Times New Roman"/><w:b w:val="0"/><w:bCs w:val="0"/><w:sz w:val="16"/><w:szCs w:val="16"/><w:rtl w:val="0"/></w:rPr><w:t xml:space="preserve">DAI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-1.42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1.96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6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-0.81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0.94</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2"><w:pPr><w:spacing w:line="240" w:lineRule="auto"/><w:jc w:val="left"/><w:rPr/></w:pPr><w:r w:rsidDel="00000000" w:rsidR="00000000" w:rsidRPr="00000000"><w:rPr><w:rFonts w:ascii="Times New Roman" w:cs="Times New Roman" w:eastAsia="Times New Roman" w:hAnsi="Times New Roman"/><w:b w:val="0"/><w:bCs w:val="0"/><w:sz w:val="16"/><w:szCs w:val="16"/><w:rtl w:val="0"/></w:rPr><w:t xml:space="preserve">Firm size (ln_empl)</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1.42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8.85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2.20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4.25</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A"><w:pPr><w:spacing w:line="240" w:lineRule="auto"/><w:jc w:val="left"/><w:rPr/></w:pPr><w:r w:rsidDel="00000000" w:rsidR="00000000" w:rsidRPr="00000000"><w:rPr><w:rFonts w:ascii="Times New Roman" w:cs="Times New Roman" w:eastAsia="Times New Roman" w:hAnsi="Times New Roman"/><w:b w:val="0"/><w:bCs w:val="0"/><w:sz w:val="16"/><w:szCs w:val="16"/><w:rtl w:val="0"/></w:rPr><w:t xml:space="preserve">Firm age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21.4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14.8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98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7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30</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2"><w:pPr><w:spacing w:line="240" w:lineRule="auto"/><w:jc w:val="left"/><w:rPr/></w:pPr><w:r w:rsidDel="00000000" w:rsidR="00000000" w:rsidRPr="00000000"><w:rPr><w:rFonts w:ascii="Times New Roman" w:cs="Times New Roman" w:eastAsia="Times New Roman" w:hAnsi="Times New Roman"/><w:b w:val="0"/><w:bCs w:val="0"/><w:sz w:val="16"/><w:szCs w:val="16"/><w:rtl w:val="0"/></w:rPr><w:t xml:space="preserve">Foreign-owned (0/1)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0.119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0.324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8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w:t></w:r><w:r w:rsidDel="00000000" w:rsidR="00000000" w:rsidRPr="00000000"><w:rPr><w:rtl w:val="0"/></w:rPr></w:r></w:p></w:tc></w:tr><w:tr><w:trPr><w:cantSplit w:val="1"/><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A"><w:pPr><w:spacing w:line="240" w:lineRule="auto"/><w:jc w:val="left"/><w:rPr/></w:pPr><w:r w:rsidDel="00000000" w:rsidR="00000000" w:rsidRPr="00000000"><w:rPr><w:rFonts w:ascii="Times New Roman" w:cs="Times New Roman" w:eastAsia="Times New Roman" w:hAnsi="Times New Roman"/><w:b w:val="1"/><w:bCs w:val="1"/><w:sz w:val="16"/><w:szCs w:val="16"/><w:rtl w:val="0"/></w:rPr><w:t xml:space="preserve">Panel B: Pairwise Correlations</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B"><w:pPr><w:spacing w:line="240" w:lineRule="auto"/><w:jc w:val="left"/><w:rPr/></w:pPr><w:r w:rsidDel="00000000" w:rsidR="00000000" w:rsidRPr="00000000"><w:rPr><w:rFonts w:ascii="Times New Roman" w:cs="Times New Roman" w:eastAsia="Times New Roman" w:hAnsi="Times New Roman"/><w:b w:val="1"/><w:bCs w:val="1"/><w:sz w:val="16"/><w:szCs w:val="16"/><w:rtl w:val="0"/></w:rPr><w:t xml:space="preserve">Variable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C"><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D"><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E"><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8F"><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90"><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91"><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92"><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7</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3"><w:pPr><w:spacing w:line="240" w:lineRule="auto"/><w:jc w:val="left"/><w:rPr/></w:pPr><w:r w:rsidDel="00000000" w:rsidR="00000000" w:rsidRPr="00000000"><w:rPr><w:rFonts w:ascii="Times New Roman" w:cs="Times New Roman" w:eastAsia="Times New Roman" w:hAnsi="Times New Roman"/><w:b w:val="0"/><w:bCs w:val="0"/><w:sz w:val="16"/><w:szCs w:val="16"/><w:rtl w:val="0"/></w:rPr><w:t xml:space="preserve">1. Ln(Lab. prod.)</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8"><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A"><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B"><w:pPr><w:spacing w:line="240" w:lineRule="auto"/><w:jc w:val="left"/><w:rPr/></w:pPr><w:r w:rsidDel="00000000" w:rsidR="00000000" w:rsidRPr="00000000"><w:rPr><w:rFonts w:ascii="Times New Roman" w:cs="Times New Roman" w:eastAsia="Times New Roman" w:hAnsi="Times New Roman"/><w:b w:val="0"/><w:bCs w:val="0"/><w:sz w:val="16"/><w:szCs w:val="16"/><w:rtl w:val="0"/></w:rPr><w:t xml:space="preserve">2. FSTS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9F"><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0"><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1"><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2"><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3"><w:pPr><w:spacing w:line="240" w:lineRule="auto"/><w:jc w:val="left"/><w:rPr/></w:pPr><w:r w:rsidDel="00000000" w:rsidR="00000000" w:rsidRPr="00000000"><w:rPr><w:rFonts w:ascii="Times New Roman" w:cs="Times New Roman" w:eastAsia="Times New Roman" w:hAnsi="Times New Roman"/><w:b w:val="0"/><w:bCs w:val="0"/><w:sz w:val="16"/><w:szCs w:val="16"/><w:rtl w:val="0"/></w:rPr><w:t xml:space="preserve">3. TCI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8"><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A"><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B"><w:pPr><w:spacing w:line="240" w:lineRule="auto"/><w:jc w:val="left"/><w:rPr/></w:pPr><w:r w:rsidDel="00000000" w:rsidR="00000000" w:rsidRPr="00000000"><w:rPr><w:rFonts w:ascii="Times New Roman" w:cs="Times New Roman" w:eastAsia="Times New Roman" w:hAnsi="Times New Roman"/><w:b w:val="0"/><w:bCs w:val="0"/><w:sz w:val="16"/><w:szCs w:val="16"/><w:rtl w:val="0"/></w:rPr><w:t xml:space="preserve">4. DAI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A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0"><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1"><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2"><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3"><w:pPr><w:spacing w:line="240" w:lineRule="auto"/><w:jc w:val="left"/><w:rPr/></w:pPr><w:r w:rsidDel="00000000" w:rsidR="00000000" w:rsidRPr="00000000"><w:rPr><w:rFonts w:ascii="Times New Roman" w:cs="Times New Roman" w:eastAsia="Times New Roman" w:hAnsi="Times New Roman"/><w:b w:val="0"/><w:bCs w:val="0"/><w:sz w:val="16"/><w:szCs w:val="16"/><w:rtl w:val="0"/></w:rPr><w:t xml:space="preserve">5. Firm size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A"><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B"><w:pPr><w:spacing w:line="240" w:lineRule="auto"/><w:jc w:val="left"/><w:rPr/></w:pPr><w:r w:rsidDel="00000000" w:rsidR="00000000" w:rsidRPr="00000000"><w:rPr><w:rFonts w:ascii="Times New Roman" w:cs="Times New Roman" w:eastAsia="Times New Roman" w:hAnsi="Times New Roman"/><w:b w:val="0"/><w:bCs w:val="0"/><w:sz w:val="16"/><w:szCs w:val="16"/><w:rtl w:val="0"/></w:rPr><w:t xml:space="preserve">6. Firm age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B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2"><w:pPr><w:spacing w:line="240" w:lineRule="auto"/><w:jc w:val="center"/><w:rPr/></w:pP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3"><w:pPr><w:spacing w:line="240" w:lineRule="auto"/><w:jc w:val="left"/><w:rPr/></w:pPr><w:r w:rsidDel="00000000" w:rsidR="00000000" w:rsidRPr="00000000"><w:rPr><w:rFonts w:ascii="Times New Roman" w:cs="Times New Roman" w:eastAsia="Times New Roman" w:hAnsi="Times New Roman"/><w:b w:val="0"/><w:bCs w:val="0"/><w:sz w:val="16"/><w:szCs w:val="16"/><w:rtl w:val="0"/></w:rPr><w:t xml:space="preserve">7. Foreign-owned</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C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1.00</w:t></w:r><w:r w:rsidDel="00000000" w:rsidR="00000000" w:rsidRPr="00000000"><w:rPr><w:rtl w:val="0"/></w:rPr></w:r></w:p></w:tc></w:tr></w:tbl><w:p w:rsidR="00000000" w:rsidDel="00000000" w:rsidP="00000000" w:rsidRDefault="00000000" w:rsidRPr="00000000" w14:paraId="000000CB"><w:pPr><w:spacing w:after="60" w:line="480" w:lineRule="auto"/><w:jc w:val="left"/><w:rPr/></w:pPr><w:r w:rsidDel="00000000" w:rsidR="00000000" w:rsidRPr="00000000"><w:rPr><w:rtl w:val="0"/></w:rPr></w:r></w:p><w:p w:rsidR="00000000" w:rsidDel="00000000" w:rsidP="00000000" w:rsidRDefault="00000000" w:rsidRPr="00000000" w14:paraId="000000CC"><w:pPr><w:spacing w:after="240" w:line="480" w:lineRule="auto"/><w:jc w:val="left"/><w:rPr/></w:pPr><w:r w:rsidDel="00000000" w:rsidR="00000000" w:rsidRPr="00000000"><w:rPr><w:rFonts w:ascii="Times New Roman" w:cs="Times New Roman" w:eastAsia="Times New Roman" w:hAnsi="Times New Roman"/><w:i w:val="1"/><w:iCs w:val="1"/><w:sz w:val="16"/><w:szCs w:val="16"/><w:rtl w:val="0"/></w:rPr><w:t xml:space="preserve">Notes: N = 623. *** p &lt; .001, ** p &lt; .01, * p &lt; .05, † p &lt; .10. TCI and DAI are z-standardized formative composites.</w:t></w:r><w:r w:rsidDel="00000000" w:rsidR="00000000" w:rsidRPr="00000000"><w:rPr><w:rtl w:val="0"/></w:rPr></w:r></w:p><w:p w:rsidR="00000000" w:rsidDel="00000000" w:rsidP="00000000" w:rsidRDefault="00000000" w:rsidRPr="00000000" w14:paraId="000000CD"><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4.2 The I–P relationship: primarily monotonic with mild curvature</w:t></w:r><w:r w:rsidDel="00000000" w:rsidR="00000000" w:rsidRPr="00000000"><w:rPr><w:rtl w:val="0"/></w:rPr></w:r></w:p><w:p w:rsidR="00000000" w:rsidDel="00000000" w:rsidP="00000000" w:rsidRDefault="00000000" w:rsidRPr="00000000" w14:paraId="000000CE"><w:pPr><w:spacing w:after="0" w:line="480" w:lineRule="auto"/><w:ind w:firstLine="720"/><w:jc w:val="both"/><w:rPr/></w:pPr><w:r w:rsidDel="00000000" w:rsidR="00000000" w:rsidRPr="00000000"><w:rPr><w:rFonts w:ascii="Cardo" w:cs="Cardo" w:eastAsia="Cardo" w:hAnsi="Cardo"/><w:sz w:val="20"/><w:szCs w:val="20"/><w:rtl w:val="0"/></w:rPr><w:t xml:space="preserve">In the M2 inverted-U baseline specification (Table 2), the linear FSTS term is strongly positive (β = +3.464, SE = 0.902, p &lt; .001) and the quadratic FSTS² term is marginally negative (β = −2.059, SE = 1.082, p = .057). Because FSTS is mean-centered before squaring (sample mean ≈ 0.045, i.e., 4.5%), the formula −β₁/(2β₂) returns the implied turning point measured as a deviation from the sample mean (≈ 84%); converted to the original uncentered scale, this corresponds to FSTS ≈ 88.6%. Either way, the implied turning point lies in the sparsely populated right tail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w:r><w:r w:rsidDel="00000000" w:rsidR="00000000" w:rsidRPr="00000000"><w:rPr><w:rtl w:val="0"/></w:rPr></w:r></w:p><w:p w:rsidR="00000000" w:rsidDel="00000000" w:rsidP="00000000" w:rsidRDefault="00000000" w:rsidRPr="00000000" w14:paraId="000000CF"><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4.3 TCI direct effect supports H1; TCI moderation null supports H2</w:t></w:r><w:r w:rsidDel="00000000" w:rsidR="00000000" w:rsidRPr="00000000"><w:rPr><w:rtl w:val="0"/></w:rPr></w:r></w:p><w:p w:rsidR="00000000" w:rsidDel="00000000" w:rsidP="00000000" w:rsidRDefault="00000000" w:rsidRPr="00000000" w14:paraId="000000D0"><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In Model M5 (Table 2), TCI exerts a positive and strongly significant direct effect on labour productivity (β_z = 0.202, SE = 0.042, p &lt; .001), supporting H1. R² increases from .162 in M2 to .191 in M5. In the supplementary TCI-moderation specification (M3, not tabulated in Table 2), the TCI direct effect remains significant (β_z = 0.191, p &lt; .001), and the TCI moderation terms (FSTS × TCI and FSTS² × TCI) are jointly insignificant; a joint Wald test yields F(2, 612) = 0.48, p = .621.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w:r><w:r w:rsidDel="00000000" w:rsidR="00000000" w:rsidRPr="00000000"><w:rPr><w:rtl w:val="0"/></w:rPr></w:r></w:p><w:p w:rsidR="00000000" w:rsidDel="00000000" w:rsidP="00000000" w:rsidRDefault="00000000" w:rsidRPr="00000000" w14:paraId="000000D1"><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4.4 DAI moderation: evidence concentrated in the high-export tail</w:t></w:r><w:r w:rsidDel="00000000" w:rsidR="00000000" w:rsidRPr="00000000"><w:rPr><w:rtl w:val="0"/></w:rPr></w:r></w:p><w:p w:rsidR="00000000" w:rsidDel="00000000" w:rsidP="00000000" w:rsidRDefault="00000000" w:rsidRPr="00000000" w14:paraId="000000D2"><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w:r><w:r w:rsidDel="00000000" w:rsidR="00000000" w:rsidRPr="00000000"><w:rPr><w:rtl w:val="0"/></w:rPr></w:r></w:p><w:p w:rsidR="00000000" w:rsidDel="00000000" w:rsidP="00000000" w:rsidRDefault="00000000" w:rsidRPr="00000000" w14:paraId="000000D3"><w:pPr><w:spacing w:after="60" w:line="480" w:lineRule="auto"/><w:jc w:val="left"/><w:rPr/></w:pPr><w:r w:rsidDel="00000000" w:rsidR="00000000" w:rsidRPr="00000000"><w:rPr><w:rFonts w:ascii="Times New Roman" w:cs="Times New Roman" w:eastAsia="Times New Roman" w:hAnsi="Times New Roman"/><w:b w:val="1"/><w:bCs w:val="1"/><w:sz w:val="20"/><w:szCs w:val="20"/><w:rtl w:val="0"/></w:rPr><w:t xml:space="preserve">Table 2. Hierarchical OLS regression results — Singapore 2023.</w:t></w:r><w:r w:rsidDel="00000000" w:rsidR="00000000" w:rsidRPr="00000000"><w:rPr><w:rtl w:val="0"/></w:rPr></w:r></w:p><w:p w:rsidR="00000000" w:rsidDel="00000000" w:rsidP="00000000" w:rsidRDefault="00000000" w:rsidRPr="00000000" w14:paraId="000000D4"><w:pPr><w:spacing w:after="120" w:line="480" w:lineRule="auto"/><w:jc w:val="left"/><w:rPr/></w:pPr><w:r w:rsidDel="00000000" w:rsidR="00000000" w:rsidRPr="00000000"><w:rPr><w:rFonts w:ascii="Times New Roman" w:cs="Times New Roman" w:eastAsia="Times New Roman" w:hAnsi="Times New Roman"/><w:i w:val="1"/><w:iCs w:val="1"/><w:sz w:val="16"/><w:szCs w:val="16"/><w:rtl w:val="0"/></w:rPr><w:t xml:space="preserve">DV: Ln(Labour Productivity). HC1 robust standard errors in parentheses.</w:t></w:r><w:r w:rsidDel="00000000" w:rsidR="00000000" w:rsidRPr="00000000"><w:rPr><w:rtl w:val="0"/></w:rPr></w:r></w:p><w:tbl><w:tblPr><w:tblStyle w:val="Table2"/><w:tblW w:w="792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620"/><w:gridCol w:w="900"/><w:gridCol w:w="900"/><w:gridCol w:w="900"/><w:gridCol w:w="900"/><w:gridCol w:w="900"/><w:gridCol w:w="900"/><w:gridCol w:w="900"/><w:tblGridChange w:id="0"><w:tblGrid><w:gridCol w:w="1620"/><w:gridCol w:w="900"/><w:gridCol w:w="900"/><w:gridCol w:w="900"/><w:gridCol w:w="900"/><w:gridCol w:w="900"/><w:gridCol w:w="900"/><w:gridCol w:w="900"/></w:tblGrid></w:tblGridChange></w:tblGrid><w:tr><w:trPr><w:cantSplit w:val="0"/><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5"><w:pPr><w:spacing w:line="240" w:lineRule="auto"/><w:jc w:val="left"/><w:rPr/></w:pPr><w:r w:rsidDel="00000000" w:rsidR="00000000" w:rsidRPr="00000000"><w:rPr><w:rFonts w:ascii="Times New Roman" w:cs="Times New Roman" w:eastAsia="Times New Roman" w:hAnsi="Times New Roman"/><w:b w:val="1"/><w:bCs w:val="1"/><w:sz w:val="16"/><w:szCs w:val="16"/><w:rtl w:val="0"/></w:rPr><w:t xml:space="preserve">Variable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6"><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M0Ctrl</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7"><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M2Inv-U</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8"><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M5+TCI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9"><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M6+DAI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A"><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M7T+D</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B"><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M4DAI×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0DC"><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M8Full</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D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D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D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3.464***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2.764**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3.075***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2.563**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3.492***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3.016**</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7"><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(0.902)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8"><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(0.927)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9"><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A"><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(0.937)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B"><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(0.951)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(0.951)</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FSTS²</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E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-2.059†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-1.378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-1.731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-1.212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-3.095**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-2.642*</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7"><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(1.082)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8"><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(1.114)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9"><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(1.085)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A"><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(1.117)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B"><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(1.089)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(1.094)</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D"><w:pPr><w:spacing w:line="240" w:lineRule="auto"/><w:jc w:val="left"/><w:rPr/></w:pPr><w:r w:rsidDel="00000000" w:rsidR="00000000" w:rsidRPr="00000000"><w:rPr><w:rFonts w:ascii="Times New Roman" w:cs="Times New Roman" w:eastAsia="Times New Roman" w:hAnsi="Times New Roman"/><w:b w:val="1"/><w:bCs w:val="1"/><w:sz w:val="16"/><w:szCs w:val="16"/><w:rtl w:val="0"/></w:rPr><w:t xml:space="preserve">TCI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0FF"><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0.202***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1"><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3"><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0.187***</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8"><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(0.042)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A"><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(0.044)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B"><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(0.044)</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D"><w:pPr><w:spacing w:line="240" w:lineRule="auto"/><w:jc w:val="left"/><w:rPr/></w:pPr><w:r w:rsidDel="00000000" w:rsidR="00000000" w:rsidRPr="00000000"><w:rPr><w:rFonts w:ascii="Times New Roman" w:cs="Times New Roman" w:eastAsia="Times New Roman" w:hAnsi="Times New Roman"/><w:b w:val="1"/><w:bCs w:val="1"/><w:sz w:val="16"/><w:szCs w:val="16"/><w:rtl w:val="0"/></w:rPr><w:t xml:space="preserve">DAI (z)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0F"><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0"><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0.076†</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8"><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9"><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(0.037)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A"><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(0.039)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B"><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(0.038)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(0.040)</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1F"><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0"><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1"><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2"><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-1.156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-1.256</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8"><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A"><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B"><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(0.916)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(0.899)</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FSTS² × 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E"><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2F"><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0"><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1"><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2"><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2.817*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2.972*</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5"><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6"><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7"><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8"><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9"><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A"><w:pPr><w:spacing w:line="240" w:lineRule="auto"/><w:jc w:val="center"/><w:rPr/></w:pP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B"><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(1.272)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C"><w:pPr><w:spacing w:line="240" w:lineRule="auto"/><w:jc w:val="center"/><w:rPr/></w:pPr><w:r w:rsidDel="00000000" w:rsidR="00000000" w:rsidRPr="00000000"><w:rPr><w:rFonts w:ascii="Times New Roman" w:cs="Times New Roman" w:eastAsia="Times New Roman" w:hAnsi="Times New Roman"/><w:b w:val="0"/><w:bCs w:val="0"/><w:i w:val="1"/><w:iCs w:val="1"/><w:sz w:val="16"/><w:szCs w:val="16"/><w:rtl w:val="0"/></w:rPr><w:t xml:space="preserve">(1.303)</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Firm size (ln)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3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-0.157***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-0.156***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-0.203***</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5"><w:pPr><w:spacing w:line="240" w:lineRule="auto"/><w:jc w:val="left"/><w:rPr/></w:pPr><w:r w:rsidDel="00000000" w:rsidR="00000000" w:rsidRPr="00000000"><w:rPr><w:rFonts w:ascii="Times New Roman" w:cs="Times New Roman" w:eastAsia="Times New Roman" w:hAnsi="Times New Roman"/><w:b w:val="1"/><w:bCs w:val="1"/><w:sz w:val="16"/><w:szCs w:val="16"/><w:rtl w:val="0"/></w:rPr><w:t xml:space="preserve">Firm age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0.017***</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D"><w:pPr><w:spacing w:line="240" w:lineRule="auto"/><w:jc w:val="left"/><w:rPr/></w:pPr><w:r w:rsidDel="00000000" w:rsidR="00000000" w:rsidRPr="00000000"><w:rPr><w:rFonts w:ascii="Times New Roman" w:cs="Times New Roman" w:eastAsia="Times New Roman" w:hAnsi="Times New Roman"/><w:b w:val="1"/><w:bCs w:val="1"/><w:sz w:val="16"/><w:szCs w:val="16"/><w:rtl w:val="0"/></w:rPr><w:t xml:space="preserve">Foreign-owned</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0.450***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4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0.329***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0.330***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0.299**</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5"><w:pPr><w:spacing w:line="240" w:lineRule="auto"/><w:jc w:val="left"/><w:rPr/></w:pPr><w:r w:rsidDel="00000000" w:rsidR="00000000" w:rsidRPr="00000000"><w:rPr><w:rFonts w:ascii="Times New Roman" w:cs="Times New Roman" w:eastAsia="Times New Roman" w:hAnsi="Times New Roman"/><w:b w:val="1"/><w:bCs w:val="1"/><w:sz w:val="16"/><w:szCs w:val="16"/><w:rtl w:val="0"/></w:rPr><w:t xml:space="preserve">Sector FE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Yes</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D"><w:pPr><w:spacing w:line="240" w:lineRule="auto"/><w:jc w:val="left"/><w:rPr/></w:pPr><w:r w:rsidDel="00000000" w:rsidR="00000000" w:rsidRPr="00000000"><w:rPr><w:rFonts w:ascii="Times New Roman" w:cs="Times New Roman" w:eastAsia="Times New Roman" w:hAnsi="Times New Roman"/><w:b w:val="1"/><w:bCs w:val="1"/><w:sz w:val="16"/><w:szCs w:val="16"/><w:rtl w:val="0"/></w:rPr><w:t xml:space="preserve">Constant</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11.69***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5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11.65***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11.84***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11.66***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11.65***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11.83***</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5"><w:pPr><w:spacing w:line="240" w:lineRule="auto"/><w:jc w:val="left"/><w:rPr/></w:pPr><w:r w:rsidDel="00000000" w:rsidR="00000000" w:rsidRPr="00000000"><w:rPr><w:rFonts w:ascii="Times New Roman" w:cs="Times New Roman" w:eastAsia="Times New Roman" w:hAnsi="Times New Roman"/><w:b w:val="1"/><w:bCs w:val="1"/><w:sz w:val="16"/><w:szCs w:val="16"/><w:rtl w:val="0"/></w:rPr><w:t xml:space="preserve">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D"><w:pPr><w:spacing w:line="240" w:lineRule="auto"/><w:jc w:val="left"/><w:rPr/></w:pPr><w:r w:rsidDel="00000000" w:rsidR="00000000" w:rsidRPr="00000000"><w:rPr><w:rFonts w:ascii="Times New Roman" w:cs="Times New Roman" w:eastAsia="Times New Roman" w:hAnsi="Times New Roman"/><w:b w:val="1"/><w:bCs w:val="1"/><w:sz w:val="16"/><w:szCs w:val="16"/><w:rtl w:val="0"/></w:rPr><w:t xml:space="preserve">R²</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0.082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6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0.170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0.178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0.202</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5"><w:pPr><w:spacing w:line="240" w:lineRule="auto"/><w:jc w:val="left"/><w:rPr/></w:pPr><w:r w:rsidDel="00000000" w:rsidR="00000000" w:rsidRPr="00000000"><w:rPr><w:rFonts w:ascii="Times New Roman" w:cs="Times New Roman" w:eastAsia="Times New Roman" w:hAnsi="Times New Roman"/><w:b w:val="1"/><w:bCs w:val="1"/><w:sz w:val="16"/><w:szCs w:val="16"/><w:rtl w:val="0"/></w:rPr><w:t xml:space="preserve">Adj. R²</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0.156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0.169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7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0.192</w:t></w:r><w:r w:rsidDel="00000000" w:rsidR="00000000" w:rsidRPr="00000000"><w:rPr><w:rtl w:val="0"/></w:rPr></w:r></w:p></w:tc></w:tr></w:tbl><w:p w:rsidR="00000000" w:rsidDel="00000000" w:rsidP="00000000" w:rsidRDefault="00000000" w:rsidRPr="00000000" w14:paraId="0000017D"><w:pPr><w:spacing w:after="60" w:line="480" w:lineRule="auto"/><w:jc w:val="left"/><w:rPr/></w:pPr><w:r w:rsidDel="00000000" w:rsidR="00000000" w:rsidRPr="00000000"><w:rPr><w:rtl w:val="0"/></w:rPr></w:r></w:p><w:p w:rsidR="00000000" w:rsidDel="00000000" w:rsidP="00000000" w:rsidRDefault="00000000" w:rsidRPr="00000000" w14:paraId="0000017E"><w:pPr><w:spacing w:after="240" w:line="480" w:lineRule="auto"/><w:jc w:val="left"/><w:rPr/></w:pPr><w:r w:rsidDel="00000000" w:rsidR="00000000" w:rsidRPr="00000000"><w:rPr><w:rFonts w:ascii="Times New Roman" w:cs="Times New Roman" w:eastAsia="Times New Roman" w:hAnsi="Times New Roman"/><w:i w:val="1"/><w:iCs w:val="1"/><w:sz w:val="16"/><w:szCs w:val="16"/><w:rtl w:val="0"/></w:rPr><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w:r><w:r w:rsidDel="00000000" w:rsidR="00000000" w:rsidRPr="00000000"><w:rPr><w:rtl w:val="0"/></w:rPr></w:r></w:p><w:p w:rsidR="00000000" w:rsidDel="00000000" w:rsidP="00000000" w:rsidRDefault="00000000" w:rsidRPr="00000000" w14:paraId="0000017F"><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w:r><w:r w:rsidDel="00000000" w:rsidR="00000000" w:rsidRPr="00000000"><w:rPr><w:rtl w:val="0"/></w:rPr></w:r></w:p><w:p w:rsidR="00000000" w:rsidDel="00000000" w:rsidP="00000000" w:rsidRDefault="00000000" w:rsidRPr="00000000" w14:paraId="00000180"><w:pPr><w:spacing w:after="120" w:line="480" w:lineRule="auto"/><w:jc w:val="left"/><w:rPr/></w:pPr><w:r w:rsidDel="00000000" w:rsidR="00000000" w:rsidRPr="00000000"><w:rPr><w:rFonts w:ascii="Times New Roman" w:cs="Times New Roman" w:eastAsia="Times New Roman" w:hAnsi="Times New Roman"/><w:b w:val="1"/><w:bCs w:val="1"/><w:sz w:val="20"/><w:szCs w:val="20"/><w:rtl w:val="0"/></w:rPr><w:t xml:space="preserve">Table 4. Marginal effects of DAI across selected FSTS levels (from Model M8).</w:t></w:r><w:r w:rsidDel="00000000" w:rsidR="00000000" w:rsidRPr="00000000"><w:rPr><w:rtl w:val="0"/></w:rPr></w:r></w:p><w:tbl><w:tblPr><w:tblStyle w:val="Table3"/><w:tblW w:w="900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800"/><w:gridCol w:w="1800"/><w:gridCol w:w="1800"/><w:gridCol w:w="1800"/><w:gridCol w:w="1800"/><w:tblGridChange w:id="0"><w:tblGrid><w:gridCol w:w="1800"/><w:gridCol w:w="1800"/><w:gridCol w:w="1800"/><w:gridCol w:w="1800"/><w:gridCol w:w="1800"/></w:tblGrid></w:tblGridChange></w:tblGrid><w:tr><w:trPr><w:cantSplit w:val="0"/><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81"><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FSTS level</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82"><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Marginal effect of 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83"><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SE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84"><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p-value</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85"><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95% CI</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6"><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 = 0% (domestic)</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0.040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.056†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[-0.002, 0.154]</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B"><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 = 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+0.021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0.050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.679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8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[-0.078, 0.120]</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0"><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10%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-0.020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0.079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.804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[-0.174, 0.135]</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5"><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 = 15%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-0.045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0.107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.673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[-0.255, 0.165]</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A"><w:pPr><w:spacing w:line="240" w:lineRule="auto"/><w:jc w:val="left"/><w:rPr/></w:pPr><w:r w:rsidDel="00000000" w:rsidR="00000000" w:rsidRPr="00000000"><w:rPr><w:rFonts w:ascii="Times New Roman" w:cs="Times New Roman" w:eastAsia="Times New Roman" w:hAnsi="Times New Roman"/><w:b w:val="0"/><w:bCs w:val="0"/><w:sz w:val="16"/><w:szCs w:val="16"/><w:rtl w:val="0"/></w:rPr><w:t xml:space="preserve">FSTS = 20%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-0.056</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0.132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.672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[-0.315, 0.203]</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9F"><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30%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-0.033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0.171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.847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[-0.367, 0.301]</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4"><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50%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.392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[-0.246, 0.629]</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9"><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70%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+0.653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0.318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.040*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[0.031, 1.276]</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E"><w:pPr><w:spacing w:line="240" w:lineRule="auto"/><w:jc w:val="left"/><w:rPr/></w:pPr><w:r w:rsidDel="00000000" w:rsidR="00000000" w:rsidRPr="00000000"><w:rPr><w:rFonts w:ascii="Times New Roman" w:cs="Times New Roman" w:eastAsia="Times New Roman" w:hAnsi="Times New Roman"/><w:b w:val="1"/><w:bCs w:val="1"/><w:sz w:val="16"/><w:szCs w:val="16"/><w:rtl w:val="0"/></w:rPr><w:t xml:space="preserve">FSTS = 100%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A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+1.792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B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0.683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B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.009**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B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[0.453, 3.132]</w:t></w:r><w:r w:rsidDel="00000000" w:rsidR="00000000" w:rsidRPr="00000000"><w:rPr><w:rtl w:val="0"/></w:rPr></w:r></w:p></w:tc></w:tr></w:tbl><w:p w:rsidR="00000000" w:rsidDel="00000000" w:rsidP="00000000" w:rsidRDefault="00000000" w:rsidRPr="00000000" w14:paraId="000001B3"><w:pPr><w:spacing w:after="60" w:line="480" w:lineRule="auto"/><w:jc w:val="left"/><w:rPr/></w:pPr><w:r w:rsidDel="00000000" w:rsidR="00000000" w:rsidRPr="00000000"><w:rPr><w:rtl w:val="0"/></w:rPr></w:r></w:p><w:p w:rsidR="00000000" w:rsidDel="00000000" w:rsidP="00000000" w:rsidRDefault="00000000" w:rsidRPr="00000000" w14:paraId="000001B4"><w:pPr><w:spacing w:after="240" w:line="480" w:lineRule="auto"/><w:jc w:val="left"/><w:rPr/></w:pPr><w:r w:rsidDel="00000000" w:rsidR="00000000" w:rsidRPr="00000000"><w:rPr><w:rFonts w:ascii="Times New Roman" w:cs="Times New Roman" w:eastAsia="Times New Roman" w:hAnsi="Times New Roman"/><w:i w:val="1"/><w:iCs w:val="1"/><w:sz w:val="16"/><w:szCs w:val="16"/><w:rtl w:val="0"/></w:rPr><w:t xml:space="preserve">Notes: ** p &lt; .01, * p &lt; .05, † p &lt; .10. Marginal effects computed at one-standard-deviation increase in DAI. SEs derived from the variance–covariance matrix of M8 using the delta method.</w:t></w:r><w:r w:rsidDel="00000000" w:rsidR="00000000" w:rsidRPr="00000000"><w:rPr><w:rtl w:val="0"/></w:rPr></w:r></w:p><w:p w:rsidR="00000000" w:rsidDel="00000000" w:rsidP="00000000" w:rsidRDefault="00000000" w:rsidRPr="00000000" w14:paraId="000001B5"><w:pPr><w:spacing w:after="0" w:line="480" w:lineRule="auto"/><w:ind w:firstLine="720"/><w:jc w:val="both"/><w:rPr/></w:pPr><w:r w:rsidDel="00000000" w:rsidR="00000000" w:rsidRPr="00000000"><w:rPr><w:rFonts w:ascii="Gungsuh" w:cs="Gungsuh" w:eastAsia="Gungsuh" w:hAnsi="Gungsuh"/><w:sz w:val="20"/><w:szCs w:val="20"/><w:rtl w:val="0"/></w:rPr><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w:r><w:r w:rsidDel="00000000" w:rsidR="00000000" w:rsidRPr="00000000"><w:rPr><w:rtl w:val="0"/></w:rPr></w:r></w:p><w:p w:rsidR="00000000" w:rsidDel="00000000" w:rsidP="00000000" w:rsidRDefault="00000000" w:rsidRPr="00000000" w14:paraId="000001B6"><w:pPr><w:spacing w:after="240" w:line="280" w:lineRule="auto"/><w:jc w:val="center"/><w:rPr/></w:pPr><w:r w:rsidDel="00000000" w:rsidR="00000000" w:rsidRPr="00000000"><w:rPr><w:rFonts w:ascii="Times New Roman" w:cs="Times New Roman" w:eastAsia="Times New Roman" w:hAnsi="Times New Roman"/><w:i w:val="1"/><w:iCs w:val="1"/><w:sz w:val="18"/><w:szCs w:val="18"/><w:rtl w:val="0"/></w:rPr><w:t xml:space="preserve">Figure 2. Marginal effects of DAI across FSTS with 95% confidence interval bands.</w:t></w:r><w:r w:rsidDel="00000000" w:rsidR="00000000" w:rsidRPr="00000000"><w:rPr><w:rtl w:val="0"/></w:rPr></w:r></w:p><w:p w:rsidR="00000000" w:rsidDel="00000000" w:rsidP="00000000" w:rsidRDefault="00000000" w:rsidRPr="00000000" w14:paraId="000001B7"><w:pPr><w:spacing w:after="240" w:line="280" w:lineRule="auto"/><w:jc w:val="center"/><w:rPr/></w:pPr><w:r w:rsidDel="00000000" w:rsidR="00000000" w:rsidRPr="00000000"><w:rPr><w:rFonts w:ascii="Times New Roman" w:cs="Times New Roman" w:eastAsia="Times New Roman" w:hAnsi="Times New Roman"/><w:i w:val="1"/><w:iCs w:val="1"/><w:sz w:val="18"/><w:szCs w:val="18"/><w:rtl w:val="0"/></w:rPr><w:t xml:space="preserve">Figure 3. Predicted internationalization–performance curve with 95% confidence band.</w:t></w:r><w:r w:rsidDel="00000000" w:rsidR="00000000" w:rsidRPr="00000000"><w:rPr><w:rtl w:val="0"/></w:rPr></w:r></w:p><w:p w:rsidR="00000000" w:rsidDel="00000000" w:rsidP="00000000" w:rsidRDefault="00000000" w:rsidRPr="00000000" w14:paraId="000001B8"><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4.5 Robustness checks</w:t></w:r><w:r w:rsidDel="00000000" w:rsidR="00000000" w:rsidRPr="00000000"><w:rPr><w:rtl w:val="0"/></w:rPr></w:r></w:p><w:p w:rsidR="00000000" w:rsidDel="00000000" w:rsidP="00000000" w:rsidRDefault="00000000" w:rsidRPr="00000000" w14:paraId="000001B9"><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restricts DAI to a single-indicator website-presence measure (c22b only) to verify that the moderation pattern is not driven by the two electronic-payment indicators (k33 and k38) included in the baseline DAI composite. Under this single-indicator restriction, the quadratic interaction loses individual significance (β = 1.563, ns), consistent with the loss of identifying variation that occurs when the richer DAI composite is reduced to website presence alone. This attenuation suggests that the baseline interaction draws meaningful variation from the electronic-payment indicators in addition to website presence.</w:t></w:r><w:r w:rsidDel="00000000" w:rsidR="00000000" w:rsidRPr="00000000"><w:rPr><w:rtl w:val="0"/></w:rPr></w:r></w:p><w:p w:rsidR="00000000" w:rsidDel="00000000" w:rsidP="00000000" w:rsidRDefault="00000000" w:rsidRPr="00000000" w14:paraId="000001BA"><w:pPr><w:spacing w:after="0" w:line="480" w:lineRule="auto"/><w:ind w:firstLine="720"/><w:jc w:val="both"/><w:rPr/></w:pPr><w:r w:rsidDel="00000000" w:rsidR="00000000" w:rsidRPr="00000000"><w:rPr><w:rFonts w:ascii="Cardo" w:cs="Cardo" w:eastAsia="Cardo" w:hAnsi="Cardo"/><w:sz w:val="20"/><w:szCs w:val="20"/><w:rtl w:val="0"/></w:rPr><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At the same time, the robustness evidence should be read within the measurement boundary of the DAI construct: the baseline index captures foundational digital presence and transaction usage rather than deeper digitally integrated organizational capability. The substantive stability of the moderation result across these alternative specifications therefore supports the manuscript's central claim about digital adoption at the Tier 1-2 level, not a broader claim about digital capability in the stronger Tier 3-4 sense..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w:r><w:r w:rsidDel="00000000" w:rsidR="00000000" w:rsidRPr="00000000"><w:rPr><w:rtl w:val="0"/></w:rPr></w:r></w:p><w:p w:rsidR="00000000" w:rsidDel="00000000" w:rsidP="00000000" w:rsidRDefault="00000000" w:rsidRPr="00000000" w14:paraId="000001BB"><w:pPr><w:spacing w:after="60" w:line="480" w:lineRule="auto"/><w:jc w:val="left"/><w:rPr/></w:pPr><w:r w:rsidDel="00000000" w:rsidR="00000000" w:rsidRPr="00000000"><w:rPr><w:rFonts w:ascii="Times New Roman" w:cs="Times New Roman" w:eastAsia="Times New Roman" w:hAnsi="Times New Roman"/><w:b w:val="1"/><w:bCs w:val="1"/><w:sz w:val="20"/><w:szCs w:val="20"/><w:rtl w:val="0"/></w:rPr><w:t xml:space="preserve">Table 3. Robustness checks for primary findings (six specifications).</w:t></w:r><w:r w:rsidDel="00000000" w:rsidR="00000000" w:rsidRPr="00000000"><w:rPr><w:rtl w:val="0"/></w:rPr></w:r></w:p><w:p w:rsidR="00000000" w:rsidDel="00000000" w:rsidP="00000000" w:rsidRDefault="00000000" w:rsidRPr="00000000" w14:paraId="000001BC"><w:pPr><w:spacing w:after="120" w:line="480" w:lineRule="auto"/><w:jc w:val="left"/><w:rPr/></w:pPr><w:r w:rsidDel="00000000" w:rsidR="00000000" w:rsidRPr="00000000"><w:rPr><w:rFonts w:ascii="Times New Roman" w:cs="Times New Roman" w:eastAsia="Times New Roman" w:hAnsi="Times New Roman"/><w:i w:val="1"/><w:iCs w:val="1"/><w:sz w:val="16"/><w:szCs w:val="16"/><w:rtl w:val="0"/></w:rPr><w:t xml:space="preserve">DV: Ln(Labour Productivity). HC1 robust standard errors. Each row reports a separate full-specification regression with controls.</w:t></w:r><w:r w:rsidDel="00000000" w:rsidR="00000000" w:rsidRPr="00000000"><w:rPr><w:rtl w:val="0"/></w:rPr></w:r></w:p><w:tbl><w:tblPr><w:tblStyle w:val="Table4"/><w:tblW w:w="850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700"/><w:gridCol w:w="800"/><w:gridCol w:w="1300"/><w:gridCol w:w="1300"/><w:gridCol w:w="1500"/><w:gridCol w:w="900"/><w:tblGridChange w:id="0"><w:tblGrid><w:gridCol w:w="2700"/><w:gridCol w:w="800"/><w:gridCol w:w="1300"/><w:gridCol w:w="1300"/><w:gridCol w:w="1500"/><w:gridCol w:w="900"/></w:tblGrid></w:tblGridChange></w:tblGrid><w:tr><w:trPr><w:cantSplit w:val="0"/><w:tblHeader w:val="0"/></w:trPr><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BD"><w:pPr><w:spacing w:line="240" w:lineRule="auto"/><w:jc w:val="left"/><w:rPr/></w:pPr><w:r w:rsidDel="00000000" w:rsidR="00000000" w:rsidRPr="00000000"><w:rPr><w:rFonts w:ascii="Times New Roman" w:cs="Times New Roman" w:eastAsia="Times New Roman" w:hAnsi="Times New Roman"/><w:b w:val="1"/><w:bCs w:val="1"/><w:sz w:val="16"/><w:szCs w:val="16"/><w:rtl w:val="0"/></w:rPr><w:t xml:space="preserve">Specification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BE"><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N</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BF"><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TCI β_z</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C0"><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FSTS² × DAI</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C1"><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Joint F (p)</w:t></w:r><w:r w:rsidDel="00000000" w:rsidR="00000000" w:rsidRPr="00000000"><w:rPr><w:rtl w:val="0"/></w:rPr></w:r></w:p></w:tc><w:tc><w:tcPr><w:tcBorders><w:top w:color="888888" w:space="0" w:sz="4" w:val="single"/><w:left w:color="888888" w:space="0" w:sz="4" w:val="single"/><w:bottom w:color="888888" w:space="0" w:sz="4" w:val="single"/><w:right w:color="888888" w:space="0" w:sz="4" w:val="single"/></w:tcBorders><w:shd w:fill="eeeeee" w:val="clear"/><w:tcMar><w:top w:w="60.0" w:type="dxa"/><w:left w:w="80.0" w:type="dxa"/><w:bottom w:w="60.0" w:type="dxa"/><w:right w:w="80.0" w:type="dxa"/></w:tcMar></w:tcPr><w:p w:rsidR="00000000" w:rsidDel="00000000" w:rsidP="00000000" w:rsidRDefault="00000000" w:rsidRPr="00000000" w14:paraId="000001C2"><w:pPr><w:spacing w:line="240" w:lineRule="auto"/><w:jc w:val="center"/><w:rPr/></w:pPr><w:r w:rsidDel="00000000" w:rsidR="00000000" w:rsidRPr="00000000"><w:rPr><w:rFonts w:ascii="Times New Roman" w:cs="Times New Roman" w:eastAsia="Times New Roman" w:hAnsi="Times New Roman"/><w:b w:val="1"/><w:bCs w:val="1"/><w:sz w:val="16"/><w:szCs w:val="16"/><w:rtl w:val="0"/></w:rPr><w:t xml:space="preserve">Adj. R²</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3"><w:pPr><w:spacing w:line="240" w:lineRule="auto"/><w:jc w:val="left"/><w:rPr/></w:pPr><w:r w:rsidDel="00000000" w:rsidR="00000000" w:rsidRPr="00000000"><w:rPr><w:rFonts w:ascii="Times New Roman" w:cs="Times New Roman" w:eastAsia="Times New Roman" w:hAnsi="Times New Roman"/><w:b w:val="1"/><w:bCs w:val="1"/><w:sz w:val="16"/><w:szCs w:val="16"/><w:rtl w:val="0"/></w:rPr><w:t xml:space="preserve">Baseline (TCI_full + DAI_rich)</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2.972*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3.28 (.039)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0.192</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9"><w:pPr><w:spacing w:line="240" w:lineRule="auto"/><w:jc w:val="left"/><w:rPr/></w:pPr><w:r w:rsidDel="00000000" w:rsidR="00000000" w:rsidRPr="00000000"><w:rPr><w:rFonts w:ascii="Times New Roman" w:cs="Times New Roman" w:eastAsia="Times New Roman" w:hAnsi="Times New Roman"/><w:b w:val="0"/><w:bCs w:val="0"/><w:sz w:val="16"/><w:szCs w:val="16"/><w:rtl w:val="0"/></w:rPr><w:t xml:space="preserve">R1: DAI_thin (website c22b only)</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B"><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1.563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0.95 (.388)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0.184</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CF"><w:pPr><w:spacing w:line="240" w:lineRule="auto"/><w:jc w:val="left"/><w:rPr/></w:pPr><w:r w:rsidDel="00000000" w:rsidR="00000000" w:rsidRPr="00000000"><w:rPr><w:rFonts w:ascii="Times New Roman" w:cs="Times New Roman" w:eastAsia="Times New Roman" w:hAnsi="Times New Roman"/><w:b w:val="0"/><w:bCs w:val="0"/><w:sz w:val="16"/><w:szCs w:val="16"/><w:rtl w:val="0"/></w:rPr><w:t xml:space="preserve">R2: TCI_thin (e6 + b8)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617</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1"><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0.171***</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2.749*</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2.97 (.052)</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0.188</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5"><w:pPr><w:spacing w:line="240" w:lineRule="auto"/><w:jc w:val="left"/><w:rPr/></w:pPr><w:r w:rsidDel="00000000" w:rsidR="00000000" w:rsidRPr="00000000"><w:rPr><w:rFonts w:ascii="Times New Roman" w:cs="Times New Roman" w:eastAsia="Times New Roman" w:hAnsi="Times New Roman"/><w:b w:val="0"/><w:bCs w:val="0"/><w:sz w:val="16"/><w:szCs w:val="16"/><w:rtl w:val="0"/></w:rPr><w:t xml:space="preserve">R3: Excl micro-firms (&lt;10 empl)</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464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7"><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0.218***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8"><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3.535*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9"><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4.64 (.010)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A"><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0.226</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B"><w:pPr><w:spacing w:line="240" w:lineRule="auto"/><w:jc w:val="left"/><w:rPr/></w:pPr><w:r w:rsidDel="00000000" w:rsidR="00000000" w:rsidRPr="00000000"><w:rPr><w:rFonts w:ascii="Gungsuh" w:cs="Gungsuh" w:eastAsia="Gungsuh" w:hAnsi="Gungsuh"/><w:b w:val="0"/><w:bCs w:val="0"/><w:sz w:val="16"/><w:szCs w:val="16"/><w:rtl w:val="0"/></w:rPr><w:t xml:space="preserve">R4: SMEs only (≤200 empl)</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C"><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595</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D"><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0.180***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E"><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3.483**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DF"><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3.81 (.023)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0"><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0.197</w:t></w:r><w:r w:rsidDel="00000000" w:rsidR="00000000" w:rsidRPr="00000000"><w:rPr><w:rtl w:val="0"/></w:rPr></w:r></w:p></w:tc></w:tr><w:tr><w:trPr><w:cantSplit w:val="0"/><w:tblHeader w:val="0"/></w:trPr><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1"><w:pPr><w:spacing w:line="240" w:lineRule="auto"/><w:jc w:val="left"/><w:rPr/></w:pPr><w:r w:rsidDel="00000000" w:rsidR="00000000" w:rsidRPr="00000000"><w:rPr><w:rFonts w:ascii="Times New Roman" w:cs="Times New Roman" w:eastAsia="Times New Roman" w:hAnsi="Times New Roman"/><w:b w:val="0"/><w:bCs w:val="0"/><w:sz w:val="16"/><w:szCs w:val="16"/><w:rtl w:val="0"/></w:rPr><w:t xml:space="preserve">R5: Exporters only (FSTS &gt; 0)</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2"><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84</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3"><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0.143</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4"><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1.308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5"><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3.18 (.048)</w:t></w:r><w:r w:rsidDel="00000000" w:rsidR="00000000" w:rsidRPr="00000000"><w:rPr><w:rtl w:val="0"/></w:rPr></w:r></w:p></w:tc><w:tc><w:tcPr><w:tcBorders><w:top w:color="888888" w:space="0" w:sz="4" w:val="single"/><w:left w:color="888888" w:space="0" w:sz="4" w:val="single"/><w:bottom w:color="888888" w:space="0" w:sz="4" w:val="single"/><w:right w:color="888888" w:space="0" w:sz="4" w:val="single"/></w:tcBorders><w:tcMar><w:top w:w="60.0" w:type="dxa"/><w:left w:w="80.0" w:type="dxa"/><w:bottom w:w="60.0" w:type="dxa"/><w:right w:w="80.0" w:type="dxa"/></w:tcMar></w:tcPr><w:p w:rsidR="00000000" w:rsidDel="00000000" w:rsidP="00000000" w:rsidRDefault="00000000" w:rsidRPr="00000000" w14:paraId="000001E6"><w:pPr><w:spacing w:line="240" w:lineRule="auto"/><w:jc w:val="center"/><w:rPr/></w:pPr><w:r w:rsidDel="00000000" w:rsidR="00000000" w:rsidRPr="00000000"><w:rPr><w:rFonts w:ascii="Times New Roman" w:cs="Times New Roman" w:eastAsia="Times New Roman" w:hAnsi="Times New Roman"/><w:b w:val="0"/><w:bCs w:val="0"/><w:sz w:val="16"/><w:szCs w:val="16"/><w:rtl w:val="0"/></w:rPr><w:t xml:space="preserve">0.140</w:t></w:r><w:r w:rsidDel="00000000" w:rsidR="00000000" w:rsidRPr="00000000"><w:rPr><w:rtl w:val="0"/></w:rPr></w:r></w:p></w:tc></w:tr></w:tbl><w:p w:rsidR="00000000" w:rsidDel="00000000" w:rsidP="00000000" w:rsidRDefault="00000000" w:rsidRPr="00000000" w14:paraId="000001E7"><w:pPr><w:spacing w:after="60" w:line="480" w:lineRule="auto"/><w:jc w:val="left"/><w:rPr/></w:pPr><w:r w:rsidDel="00000000" w:rsidR="00000000" w:rsidRPr="00000000"><w:rPr><w:rtl w:val="0"/></w:rPr></w:r></w:p><w:p w:rsidR="00000000" w:rsidDel="00000000" w:rsidP="00000000" w:rsidRDefault="00000000" w:rsidRPr="00000000" w14:paraId="000001E8"><w:pPr><w:spacing w:after="240" w:line="480" w:lineRule="auto"/><w:jc w:val="left"/><w:rPr/></w:pPr><w:r w:rsidDel="00000000" w:rsidR="00000000" w:rsidRPr="00000000"><w:rPr><w:rFonts w:ascii="Gungsuh" w:cs="Gungsuh" w:eastAsia="Gungsuh" w:hAnsi="Gungsuh"/><w:i w:val="1"/><w:iCs w:val="1"/><w:sz w:val="16"/><w:szCs w:val="16"/><w:rtl w:val="0"/></w:rPr><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 Across these specifications, DAI should be interpreted as a Tier 1-2 digital-adoption construct anchored in website presence and electronic-payment usage rather than as a broader measure of digitally integrated organizational capability.</w:t></w:r><w:r w:rsidDel="00000000" w:rsidR="00000000" w:rsidRPr="00000000"><w:rPr><w:rtl w:val="0"/></w:rPr></w:r></w:p><w:p w:rsidR="00000000" w:rsidDel="00000000" w:rsidP="00000000" w:rsidRDefault="00000000" w:rsidRPr="00000000" w14:paraId="000001E9"><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5 Discussion</w:t></w:r><w:r w:rsidDel="00000000" w:rsidR="00000000" w:rsidRPr="00000000"><w:rPr><w:rtl w:val="0"/></w:rPr></w:r></w:p><w:p w:rsidR="00000000" w:rsidDel="00000000" w:rsidP="00000000" w:rsidRDefault="00000000" w:rsidRPr="00000000" w14:paraId="000001EA"><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5.1 Theoretical implications</w:t></w:r><w:r w:rsidDel="00000000" w:rsidR="00000000" w:rsidRPr="00000000"><w:rPr><w:rtl w:val="0"/></w:rPr></w:r></w:p><w:p w:rsidR="00000000" w:rsidDel="00000000" w:rsidP="00000000" w:rsidRDefault="00000000" w:rsidRPr="00000000" w14:paraId="000001EB"><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w:r><w:r w:rsidDel="00000000" w:rsidR="00000000" w:rsidRPr="00000000"><w:rPr><w:rtl w:val="0"/></w:rPr></w:r></w:p><w:p w:rsidR="00000000" w:rsidDel="00000000" w:rsidP="00000000" w:rsidRDefault="00000000" w:rsidRPr="00000000" w14:paraId="000001EC"><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w:r><w:r w:rsidDel="00000000" w:rsidR="00000000" w:rsidRPr="00000000"><w:rPr><w:rtl w:val="0"/></w:rPr></w:r></w:p><w:p w:rsidR="00000000" w:rsidDel="00000000" w:rsidP="00000000" w:rsidRDefault="00000000" w:rsidRPr="00000000" w14:paraId="000001ED"><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 In the present setting, the observed DAI effect should be understood as evidence about the productivity relevance of Tier 1-2 digitalization in a digital-frontier economy, not as direct evidence about deeper digitally integrated organizational capability..</w:t></w:r><w:r w:rsidDel="00000000" w:rsidR="00000000" w:rsidRPr="00000000"><w:rPr><w:rtl w:val="0"/></w:rPr></w:r></w:p><w:p w:rsidR="00000000" w:rsidDel="00000000" w:rsidP="00000000" w:rsidRDefault="00000000" w:rsidRPr="00000000" w14:paraId="000001EE"><w:pPr><w:spacing w:after="160" w:before="280" w:lineRule="auto"/><w:jc w:val="left"/><w:rPr/></w:pPr><w:r w:rsidDel="00000000" w:rsidR="00000000" w:rsidRPr="00000000"><w:rPr><w:rFonts w:ascii="Times New Roman" w:cs="Times New Roman" w:eastAsia="Times New Roman" w:hAnsi="Times New Roman"/><w:b w:val="1"/><w:bCs w:val="1"/><w:sz w:val="22"/><w:szCs w:val="22"/><w:rtl w:val="0"/></w:rPr><w:t xml:space="preserve">5.2 Managerial implications</w:t></w:r><w:r w:rsidDel="00000000" w:rsidR="00000000" w:rsidRPr="00000000"><w:rPr><w:rtl w:val="0"/></w:rPr></w:r></w:p><w:p w:rsidR="00000000" w:rsidDel="00000000" w:rsidP="00000000" w:rsidRDefault="00000000" w:rsidRPr="00000000" w14:paraId="000001EF"><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w:r><w:r w:rsidDel="00000000" w:rsidR="00000000" w:rsidRPr="00000000"><w:rPr><w:rtl w:val="0"/></w:rPr></w:r></w:p><w:p w:rsidR="00000000" w:rsidDel="00000000" w:rsidP="00000000" w:rsidRDefault="00000000" w:rsidRPr="00000000" w14:paraId="000001F0"><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w:r><w:r w:rsidDel="00000000" w:rsidR="00000000" w:rsidRPr="00000000"><w:rPr><w:rtl w:val="0"/></w:rPr></w:r></w:p><w:p w:rsidR="00000000" w:rsidDel="00000000" w:rsidP="00000000" w:rsidRDefault="00000000" w:rsidRPr="00000000" w14:paraId="000001F1"><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w:r><w:r w:rsidDel="00000000" w:rsidR="00000000" w:rsidRPr="00000000"><w:rPr><w:rtl w:val="0"/></w:rPr></w:r></w:p><w:p w:rsidR="00000000" w:rsidDel="00000000" w:rsidP="00000000" w:rsidRDefault="00000000" w:rsidRPr="00000000" w14:paraId="000001F2"><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&quot;digital capability&quot; agenda.</w:t></w:r><w:r w:rsidDel="00000000" w:rsidR="00000000" w:rsidRPr="00000000"><w:rPr><w:rtl w:val="0"/></w:rPr></w:r></w:p><w:p w:rsidR="00000000" w:rsidDel="00000000" w:rsidP="00000000" w:rsidRDefault="00000000" w:rsidRPr="00000000" w14:paraId="000001F3"><w:pPr><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6 Limitations and Future Research</w:t></w:r><w:r w:rsidDel="00000000" w:rsidR="00000000" w:rsidRPr="00000000"><w:rPr><w:rtl w:val="0"/></w:rPr></w:r></w:p><w:p w:rsidR="00000000" w:rsidDel="00000000" w:rsidP="00000000" w:rsidRDefault="00000000" w:rsidRPr="00000000" w14:paraId="000001F4"><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w:r><w:r w:rsidDel="00000000" w:rsidR="00000000" w:rsidRPr="00000000"><w:rPr><w:rtl w:val="0"/></w:rPr></w:r></w:p><w:p w:rsidR="00000000" w:rsidDel="00000000" w:rsidP="00000000" w:rsidRDefault="00000000" w:rsidRPr="00000000" w14:paraId="000001F5"><w:pPr><w:spacing w:after="0" w:line="480" w:lineRule="auto"/><w:ind w:firstLine="720"/><w:jc w:val="both"/><w:rPr/></w:pPr><w:r w:rsidDel="00000000" w:rsidR="00000000" w:rsidRPr="00000000"><w:rPr><w:rFonts w:ascii="Gungsuh" w:cs="Gungsuh" w:eastAsia="Gungsuh" w:hAnsi="Gungsuh"/><w:sz w:val="20"/><w:szCs w:val="20"/><w:rtl w:val="0"/></w:rPr><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88.6% (on the original uncentered scale)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w:r><w:r w:rsidDel="00000000" w:rsidR="00000000" w:rsidRPr="00000000"><w:rPr><w:rtl w:val="0"/></w:rPr></w:r></w:p><w:p w:rsidR="00000000" w:rsidDel="00000000" w:rsidP="00000000" w:rsidRDefault="00000000" w:rsidRPr="00000000" w14:paraId="000001F6"><w:pPr><w:spacing w:after="0" w:line="480" w:lineRule="auto"/><w:ind w:firstLine="720"/><w:jc w:val="both"/><w:rPr/></w:pPr><w:r w:rsidDel="00000000" w:rsidR="00000000" w:rsidRPr="00000000"><w:rPr><w:rFonts w:ascii="Gungsuh" w:cs="Gungsuh" w:eastAsia="Gungsuh" w:hAnsi="Gungsuh"/><w:sz w:val="20"/><w:szCs w:val="20"/><w:rtl w:val="0"/></w:rPr><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extend this measurement architecture by linking WBES microdata, where confidentiality arrangements permit, to proprietary firm-level databases such as Bureau van Dijk's Orbis, or by using purpose-built survey instruments modeled on the World Bank's Firm-level Adoption of Technology framework (Cirera, Comin, & Cruz, 2022), which can better capture process-level digital integration and higher-order capability depth. Future research should examine whether the same pattern appears in other digitally mature economies (e.g., Hong Kong, Republic of Korea, Taiwan) and under purpose-designed instruments that capture deeper digital dynamic capabilities (Verhoef et al., 2021).</w:t></w:r><w:r w:rsidDel="00000000" w:rsidR="00000000" w:rsidRPr="00000000"><w:rPr><w:rtl w:val="0"/></w:rPr></w:r></w:p><w:p w:rsidR="00000000" w:rsidDel="00000000" w:rsidP="00000000" w:rsidRDefault="00000000" w:rsidRPr="00000000" w14:paraId="000001F7"><w:pPr><w:spacing w:after="0" w:line="480" w:lineRule="auto"/><w:ind w:firstLine="720"/><w:jc w:val="both"/><w:rPr/></w:pPr><w:r w:rsidDel="00000000" w:rsidR="00000000" w:rsidRPr="00000000"><w:rPr><w:rFonts w:ascii="Times New Roman" w:cs="Times New Roman" w:eastAsia="Times New Roman" w:hAnsi="Times New Roman"/><w:sz w:val="20"/><w:szCs w:val="20"/><w:rtl w:val="0"/></w:rPr><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w:r><w:r w:rsidDel="00000000" w:rsidR="00000000" w:rsidRPr="00000000"><w:rPr><w:rtl w:val="0"/></w:rPr></w:r></w:p><w:p w:rsidR="00000000" w:rsidDel="00000000" w:rsidP="00000000" w:rsidRDefault="00000000" w:rsidRPr="00000000" w14:paraId="000001F8"><w:pPr><w:pageBreakBefore w:val="1"/><w:spacing w:after="240" w:before="360" w:lineRule="auto"/><w:jc w:val="left"/><w:rPr/></w:pPr><w:r w:rsidDel="00000000" w:rsidR="00000000" w:rsidRPr="00000000"><w:rPr><w:rFonts w:ascii="Times New Roman" w:cs="Times New Roman" w:eastAsia="Times New Roman" w:hAnsi="Times New Roman"/><w:b w:val="1"/><w:bCs w:val="1"/><w:sz w:val="24"/><w:szCs w:val="24"/><w:rtl w:val="0"/></w:rPr><w:t xml:space="preserve">References</w:t></w:r><w:r w:rsidDel="00000000" w:rsidR="00000000" w:rsidRPr="00000000"><w:rPr><w:rtl w:val="0"/></w:rPr></w:r></w:p><w:p w:rsidR="00000000" w:rsidDel="00000000" w:rsidP="00000000" w:rsidRDefault="00000000" w:rsidRPr="00000000" w14:paraId="000001F9"><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Aguinis, H., Beaty, J. C., Boik, R. J., &amp; Pierce, C. A. (2005). Effect size and power in assessing moderating effects of categorical variables using multiple regression: A 30-year review. Journal of Applied Psychology, 90(1), 94–107. https://doi.org/10.1037/0021-9010.90.1.94</w:t></w:r><w:r w:rsidDel="00000000" w:rsidR="00000000" w:rsidRPr="00000000"><w:rPr><w:rtl w:val="0"/></w:rPr></w:r></w:p><w:p w:rsidR="00000000" w:rsidDel="00000000" w:rsidP="00000000" w:rsidRDefault="00000000" w:rsidRPr="00000000" w14:paraId="000001FA"><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Aiken, L. S., &amp; West, S. G. (1991). Multiple regression: Testing and interpreting interactions. Sage.</w:t></w:r><w:r w:rsidDel="00000000" w:rsidR="00000000" w:rsidRPr="00000000"><w:rPr><w:rtl w:val="0"/></w:rPr></w:r></w:p><w:p w:rsidR="00000000" w:rsidDel="00000000" w:rsidP="00000000" w:rsidRDefault="00000000" w:rsidRPr="00000000" w14:paraId="000001FB"><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Antonakis, J., Bendahan, S., Jacquart, P., &amp; Lalive, R. (2010). On making causal claims: A review and recommendations. The Leadership Quarterly, 21(6), 1086–1120. https://doi.org/10.1016/j.leaqua.2010.10.010</w:t></w:r><w:r w:rsidDel="00000000" w:rsidR="00000000" w:rsidRPr="00000000"><w:rPr><w:rtl w:val="0"/></w:rPr></w:r></w:p><w:p w:rsidR="00000000" w:rsidDel="00000000" w:rsidP="00000000" w:rsidRDefault="00000000" w:rsidRPr="00000000" w14:paraId="000001FC"><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Avenyo, E. K., Tregenna, F., &amp; Kraemer-Mbula, E. (2021). Do productive capabilities affect export performance? Microeconomic evidence from sub-Saharan Africa. European Journal of Development Research, 33(2), 304–329. https://doi.org/10.1057/s41287-020-00328-2</w:t></w:r><w:r w:rsidDel="00000000" w:rsidR="00000000" w:rsidRPr="00000000"><w:rPr><w:rtl w:val="0"/></w:rPr></w:r></w:p><w:p w:rsidR="00000000" w:rsidDel="00000000" w:rsidP="00000000" w:rsidRDefault="00000000" w:rsidRPr="00000000" w14:paraId="000001FD"><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Banalieva, E. R., &amp; Dhanaraj, C. (2019). Internalization theory for the digital economy. Journal of International Business Studies, 50(8), 1372–1387. https://doi.org/10.1057/s41267-019-00243-7</w:t></w:r><w:r w:rsidDel="00000000" w:rsidR="00000000" w:rsidRPr="00000000"><w:rPr><w:rtl w:val="0"/></w:rPr></w:r></w:p><w:p w:rsidR="00000000" w:rsidDel="00000000" w:rsidP="00000000" w:rsidRDefault="00000000" w:rsidRPr="00000000" w14:paraId="000001FE"><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Barney, J. (1991). Firm resources and sustained competitive advantage. Journal of Management, 17(1), 99–120. https://doi.org/10.1177/014920639101700108</w:t></w:r><w:r w:rsidDel="00000000" w:rsidR="00000000" w:rsidRPr="00000000"><w:rPr><w:rtl w:val="0"/></w:rPr></w:r></w:p><w:p w:rsidR="00000000" w:rsidDel="00000000" w:rsidP="00000000" w:rsidRDefault="00000000" w:rsidRPr="00000000" w14:paraId="000001FF"><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Bharadwaj, A., El Sawy, O. A., Pavlou, P. A., &amp; Venkatraman, N. (2013). Digital business strategy: Toward a next generation of insights. MIS Quarterly, 37(2), 471–482. https://doi.org/10.25300/MISQ/2013/37:2.3</w:t></w:r><w:r w:rsidDel="00000000" w:rsidR="00000000" w:rsidRPr="00000000"><w:rPr><w:rtl w:val="0"/></w:rPr></w:r></w:p><w:p w:rsidR="00000000" w:rsidDel="00000000" w:rsidP="00000000" w:rsidRDefault="00000000" w:rsidRPr="00000000" w14:paraId="00000200"><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Brynjolfsson, E., Rock, D., &amp; Syverson, C. (2021). The productivity J-curve: How intangibles complement general purpose technologies. American Economic Journal: Macroeconomics, 13(1), 333–372. https://doi.org/10.1257/mac.20180386</w:t></w:r><w:r w:rsidDel="00000000" w:rsidR="00000000" w:rsidRPr="00000000"><w:rPr><w:rtl w:val="0"/></w:rPr></w:r></w:p><w:p w:rsidR="00000000" w:rsidDel="00000000" w:rsidP="00000000" w:rsidRDefault="00000000" w:rsidRPr="00000000" w14:paraId="00000201"><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Cohen, J. (1988). Statistical power analysis for the behavioral sciences (2nd ed.). Lawrence Erlbaum.</w:t></w:r><w:r w:rsidDel="00000000" w:rsidR="00000000" w:rsidRPr="00000000"><w:rPr><w:rtl w:val="0"/></w:rPr></w:r></w:p><w:p w:rsidR="00000000" w:rsidDel="00000000" w:rsidP="00000000" w:rsidRDefault="00000000" w:rsidRPr="00000000" w14:paraId="00000202"><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Cohen, W. M., &amp; Levinthal, D. A. (1990). Absorptive capacity: A new perspective on learning and innovation. Administrative Science Quarterly, 35(1), 128–152. https://doi.org/10.2307/2393553</w:t></w:r><w:r w:rsidDel="00000000" w:rsidR="00000000" w:rsidRPr="00000000"><w:rPr><w:rtl w:val="0"/></w:rPr></w:r></w:p><w:p w:rsidR="00000000" w:rsidDel="00000000" w:rsidP="00000000" w:rsidRDefault="00000000" w:rsidRPr="00000000" w14:paraId="00000203"><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Coltman, T., Devinney, T. M., Midgley, D. F., &amp; Venaik, S. (2008). Formative versus reflective measurement models: Two applications of formative measurement. Journal of Business Research, 61(12), 1250–1262. https://doi.org/10.1016/j.jbusres.2008.01.013</w:t></w:r><w:r w:rsidDel="00000000" w:rsidR="00000000" w:rsidRPr="00000000"><w:rPr><w:rtl w:val="0"/></w:rPr></w:r></w:p><w:p w:rsidR="00000000" w:rsidDel="00000000" w:rsidP="00000000" w:rsidRDefault="00000000" w:rsidRPr="00000000" w14:paraId="00000204"><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Contractor, F. J. (2007). Is international business good for companies? The evolutionary or multi-stage theory of internationalization vs. the transaction cost perspective. Management International Review, 47(3), 453–475. https://doi.org/10.1007/s11575-007-0024-2</w:t></w:r><w:r w:rsidDel="00000000" w:rsidR="00000000" w:rsidRPr="00000000"><w:rPr><w:rtl w:val="0"/></w:rPr></w:r></w:p><w:p w:rsidR="00000000" w:rsidDel="00000000" w:rsidP="00000000" w:rsidRDefault="00000000" w:rsidRPr="00000000" w14:paraId="00000205"><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Contractor, F. J., Kundu, S. K., &amp; Hsu, C.-C. (2003). A three-stage theory of international expansion: The link between multinationality and performance in the service sector. Journal of International Business Studies, 34(1), 5–18. https://doi.org/10.1057/palgrave.jibs.8400003</w:t></w:r><w:r w:rsidDel="00000000" w:rsidR="00000000" w:rsidRPr="00000000"><w:rPr><w:rtl w:val="0"/></w:rPr></w:r></w:p><w:p w:rsidR="00000000" w:rsidDel="00000000" w:rsidP="00000000" w:rsidRDefault="00000000" w:rsidRPr="00000000" w14:paraId="00000206"><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Haans, R. F. J., Pieters, C., &amp; He, Z.-L. (2016). Thinking about U: Theorizing and testing U- and inverted U-shaped relationships in strategy research. Strategic Management Journal, 37(7), 1177–1195. https://doi.org/10.1002/smj.2399</w:t></w:r><w:r w:rsidDel="00000000" w:rsidR="00000000" w:rsidRPr="00000000"><w:rPr><w:rtl w:val="0"/></w:rPr></w:r></w:p><w:p w:rsidR="00000000" w:rsidDel="00000000" w:rsidP="00000000" w:rsidRDefault="00000000" w:rsidRPr="00000000" w14:paraId="00000207"><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Hambrick, D. C., &amp; Mason, P. A. (1984). Upper echelons: The organization as a reflection of its top managers. Academy of Management Review, 9(2), 193–206. https://doi.org/10.5465/amr.1984.4277628</w:t></w:r><w:r w:rsidDel="00000000" w:rsidR="00000000" w:rsidRPr="00000000"><w:rPr><w:rtl w:val="0"/></w:rPr></w:r></w:p><w:p w:rsidR="00000000" w:rsidDel="00000000" w:rsidP="00000000" w:rsidRDefault="00000000" w:rsidRPr="00000000" w14:paraId="00000208"><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Hitt, M. A., Hoskisson, R. E., &amp; Kim, H. (1997). International diversification: Effects on innovation and firm performance in product-diversified firms. Academy of Management Journal, 40(4), 767–798. https://doi.org/10.5465/256948</w:t></w:r><w:r w:rsidDel="00000000" w:rsidR="00000000" w:rsidRPr="00000000"><w:rPr><w:rtl w:val="0"/></w:rPr></w:r></w:p><w:p w:rsidR="00000000" w:rsidDel="00000000" w:rsidP="00000000" w:rsidRDefault="00000000" w:rsidRPr="00000000" w14:paraId="00000209"><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Krammer, S. M. S., Strange, R., &amp; Lashitew, A. (2018). The export performance of emerging economy firms. International Business Review, 27(1), 218–230. https://doi.org/10.1016/j.ibusrev.2017.07.003</w:t></w:r><w:r w:rsidDel="00000000" w:rsidR="00000000" w:rsidRPr="00000000"><w:rPr><w:rtl w:val="0"/></w:rPr></w:r></w:p><w:p w:rsidR="00000000" w:rsidDel="00000000" w:rsidP="00000000" w:rsidRDefault="00000000" w:rsidRPr="00000000" w14:paraId="0000020A"><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Lakens, D., Scheel, A. M., &amp; Isager, P. M. (2018). Equivalence testing for psychological research: A tutorial. Advances in Methods and Practices in Psychological Science, 1(2), 259–269. https://doi.org/10.1177/2515245918770963</w:t></w:r><w:r w:rsidDel="00000000" w:rsidR="00000000" w:rsidRPr="00000000"><w:rPr><w:rtl w:val="0"/></w:rPr></w:r></w:p><w:p w:rsidR="00000000" w:rsidDel="00000000" w:rsidP="00000000" w:rsidRDefault="00000000" w:rsidRPr="00000000" w14:paraId="0000020B"><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Lall, S. (1992). Technological capabilities and industrialization. World Development, 20(2), 165–186. https://doi.org/10.1016/0305-750X(92)90097-F</w:t></w:r><w:r w:rsidDel="00000000" w:rsidR="00000000" w:rsidRPr="00000000"><w:rPr><w:rtl w:val="0"/></w:rPr></w:r></w:p><w:p w:rsidR="00000000" w:rsidDel="00000000" w:rsidP="00000000" w:rsidRDefault="00000000" w:rsidRPr="00000000" w14:paraId="0000020C"><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Lind, J. T., &amp; Mehlum, H. (2010). With or without U? The appropriate test for a U-shaped relationship. Oxford Bulletin of Economics and Statistics, 72(1), 109–118. https://doi.org/10.1111/j.1468-0084.2009.00569.x</w:t></w:r><w:r w:rsidDel="00000000" w:rsidR="00000000" w:rsidRPr="00000000"><w:rPr><w:rtl w:val="0"/></w:rPr></w:r></w:p><w:p w:rsidR="00000000" w:rsidDel="00000000" w:rsidP="00000000" w:rsidRDefault="00000000" w:rsidRPr="00000000" w14:paraId="0000020D"><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Lu, J. W., &amp; Beamish, P. W. (2004). International diversification and firm performance: The S-curve hypothesis. Academy of Management Journal, 47(4), 598–609. https://doi.org/10.5465/20159604</w:t></w:r><w:r w:rsidDel="00000000" w:rsidR="00000000" w:rsidRPr="00000000"><w:rPr><w:rtl w:val="0"/></w:rPr></w:r></w:p><w:p w:rsidR="00000000" w:rsidDel="00000000" w:rsidP="00000000" w:rsidRDefault="00000000" w:rsidRPr="00000000" w14:paraId="0000020E"><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MacKinnon, J. G., &amp; White, H. (1985). Some heteroskedasticity-consistent covariance matrix estimators with improved finite sample properties. Journal of Econometrics, 29(3), 305–325. https://doi.org/10.1016/0304-4076(85)90158-7</w:t></w:r><w:r w:rsidDel="00000000" w:rsidR="00000000" w:rsidRPr="00000000"><w:rPr><w:rtl w:val="0"/></w:rPr></w:r></w:p><w:p w:rsidR="00000000" w:rsidDel="00000000" w:rsidP="00000000" w:rsidRDefault="00000000" w:rsidRPr="00000000" w14:paraId="0000020F"><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Marano, V., Arregle, J.-L., Hitt, M. A., Spadafora, E., &amp; van Essen, M. (2016). Home country institutions and the internationalization-performance relationship: A meta-analytic review. Journal of Management, 42(5), 1075–1110. https://doi.org/10.1177/0149206315608961</w:t></w:r><w:r w:rsidDel="00000000" w:rsidR="00000000" w:rsidRPr="00000000"><w:rPr><w:rtl w:val="0"/></w:rPr></w:r></w:p><w:p w:rsidR="00000000" w:rsidDel="00000000" w:rsidP="00000000" w:rsidRDefault="00000000" w:rsidRPr="00000000" w14:paraId="00000210"><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Meyer, K. E., van Witteloostuijn, A., &amp; Beugelsdijk, S. (2017). What’s in a p? Reassessing best practices for conducting and reporting hypothesis-testing research. Journal of International Business Studies, 48(5), 535–551. https://doi.org/10.1057/s41267-017-0078-8</w:t></w:r><w:r w:rsidDel="00000000" w:rsidR="00000000" w:rsidRPr="00000000"><w:rPr><w:rtl w:val="0"/></w:rPr></w:r></w:p><w:p w:rsidR="00000000" w:rsidDel="00000000" w:rsidP="00000000" w:rsidRDefault="00000000" w:rsidRPr="00000000" w14:paraId="00000211"><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O'Brien, R. M. (2007). A caution regarding rules of thumb for variance inflation factors. Quality &amp; Quantity, 41(5), 673–690. https://doi.org/10.1007/s11135-006-9018-6</w:t></w:r><w:r w:rsidDel="00000000" w:rsidR="00000000" w:rsidRPr="00000000"><w:rPr><w:rtl w:val="0"/></w:rPr></w:r></w:p><w:p w:rsidR="00000000" w:rsidDel="00000000" w:rsidP="00000000" w:rsidRDefault="00000000" w:rsidRPr="00000000" w14:paraId="00000212"><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Peng, M. W. (2003). Institutional transitions and strategic choices. Academy of Management Review, 28(2), 275–296. https://doi.org/10.5465/amr.2003.9416341</w:t></w:r><w:r w:rsidDel="00000000" w:rsidR="00000000" w:rsidRPr="00000000"><w:rPr><w:rtl w:val="0"/></w:rPr></w:r></w:p><w:p w:rsidR="00000000" w:rsidDel="00000000" w:rsidP="00000000" w:rsidRDefault="00000000" w:rsidRPr="00000000" w14:paraId="00000213"><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Peng, M. W., Wang, D. Y. L., &amp; Jiang, Y. (2008). An institution-based view of international business strategy: A focus on emerging economies. Journal of International Business Studies, 39(5), 920–936. https://doi.org/10.1057/palgrave.jibs.8400377</w:t></w:r><w:r w:rsidDel="00000000" w:rsidR="00000000" w:rsidRPr="00000000"><w:rPr><w:rtl w:val="0"/></w:rPr></w:r></w:p><w:p w:rsidR="00000000" w:rsidDel="00000000" w:rsidP="00000000" w:rsidRDefault="00000000" w:rsidRPr="00000000" w14:paraId="00000214"><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Rugman, A. M., &amp; Verbeke, A. (2004). A perspective on regional and global strategies of multinational enterprises. Journal of International Business Studies, 35(1), 3–18. https://doi.org/10.1057/palgrave.jibs.8400073</w:t></w:r><w:r w:rsidDel="00000000" w:rsidR="00000000" w:rsidRPr="00000000"><w:rPr><w:rtl w:val="0"/></w:rPr></w:r></w:p><w:p w:rsidR="00000000" w:rsidDel="00000000" w:rsidP="00000000" w:rsidRDefault="00000000" w:rsidRPr="00000000" w14:paraId="00000215"><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Shaver, J. M. (2020). Causal identification through a cumulative body of research in the study of strategy and organizations. Journal of Management, 46(7), 1244–1256. https://doi.org/10.1177/0149206319846272</w:t></w:r><w:r w:rsidDel="00000000" w:rsidR="00000000" w:rsidRPr="00000000"><w:rPr><w:rtl w:val="0"/></w:rPr></w:r></w:p><w:p w:rsidR="00000000" w:rsidDel="00000000" w:rsidP="00000000" w:rsidRDefault="00000000" w:rsidRPr="00000000" w14:paraId="00000216"><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Stallkamp, M., &amp; Schotter, A. P. J. (2021). Platforms without borders? The international strategies of digital platform firms. Global Strategy Journal, 11(1), 58–80. https://doi.org/10.1002/gsj.1336</w:t></w:r><w:r w:rsidDel="00000000" w:rsidR="00000000" w:rsidRPr="00000000"><w:rPr><w:rtl w:val="0"/></w:rPr></w:r></w:p><w:p w:rsidR="00000000" w:rsidDel="00000000" w:rsidP="00000000" w:rsidRDefault="00000000" w:rsidRPr="00000000" w14:paraId="00000217"><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Verhoef, P. C., Broekhuizen, T., Bart, Y., Bhattacharya, A., Dong, J. Q., Fabian, N., &amp; Haenlein, M. (2021). Digital transformation: A multidisciplinary reflection and research agenda. Journal of Business Research, 122, 889–901. https://doi.org/10.1016/j.jbusres.2019.09.022</w:t></w:r><w:r w:rsidDel="00000000" w:rsidR="00000000" w:rsidRPr="00000000"><w:rPr><w:rtl w:val="0"/></w:rPr></w:r></w:p><w:p w:rsidR="00000000" w:rsidDel="00000000" w:rsidP="00000000" w:rsidRDefault="00000000" w:rsidRPr="00000000" w14:paraId="00000218"><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Wolfolds, S. E., &amp; Siegel, J. (2019). Misaccounting for endogeneity: The peril of relying on the Heckman two-step method without a valid instrument. Strategic Management Journal, 40(3), 432–462. https://doi.org/10.1002/smj.2995</w:t></w:r><w:r w:rsidDel="00000000" w:rsidR="00000000" w:rsidRPr="00000000"><w:rPr><w:rtl w:val="0"/></w:rPr></w:r></w:p><w:p w:rsidR="00000000" w:rsidDel="00000000" w:rsidP="00000000" w:rsidRDefault="00000000" w:rsidRPr="00000000" w14:paraId="00000219"><w:pPr><w:spacing w:after="60" w:line="360" w:lineRule="auto"/><w:ind w:left="720" w:hanging="720"/><w:jc w:val="left"/><w:rPr/></w:pPr><w:r w:rsidDel="00000000" w:rsidR="00000000" w:rsidRPr="00000000"><w:rPr><w:rFonts w:ascii="Times New Roman" w:cs="Times New Roman" w:eastAsia="Times New Roman" w:hAnsi="Times New Roman"/><w:sz w:val="20"/><w:szCs w:val="20"/><w:rtl w:val="0"/></w:rPr><w:t xml:space="preserve">World Bank. (2024). World Bank Enterprise Survey: Singapore 2023. https://www.enterprisesurveys.org</w:t></w:r><w:r w:rsidDel="00000000" w:rsidR="00000000" w:rsidRPr="00000000"><w:rPr><w:rtl w:val="0"/></w:rPr></w:r></w:p><w:p w:rsidR="00000000" w:rsidDel="00000000" w:rsidP="00000000" w:rsidRDefault="00000000" w:rsidRPr="00000000" w14:paraId="0000021A"><w:pPr><w:rPr/></w:pPr><w:r w:rsidDel="00000000" w:rsidR="00000000" w:rsidRPr="00000000"><w:br w:type="page"/></w:r><w:r w:rsidDel="00000000" w:rsidR="00000000" w:rsidRPr="00000000"><w:rPr><w:rtl w:val="0"/></w:rPr></w:r></w:p><w:p w:rsidR="00000000" w:rsidDel="00000000" w:rsidP="00000000" w:rsidRDefault="00000000" w:rsidRPr="00000000" w14:paraId="0000021B"><w:pPr><w:jc w:val="center"/><w:rPr/></w:pPr><w:r w:rsidDel="00000000" w:rsidR="00000000" w:rsidRPr="00000000"><w:rPr/><w:drawing><wp:inline distB="0" distT="0" distL="114300" distR="114300"><wp:extent cx="5029200" cy="3351857"/><wp:effectExtent b="0" l="0" r="0" t="0"/><wp:docPr id="3" name="image3.png"/><a:graphic><a:graphicData uri="http://schemas.openxmlformats.org/drawingml/2006/picture"><pic:pic><pic:nvPicPr><pic:cNvPr id="0" name="image3.png"/><pic:cNvPicPr preferRelativeResize="0"/></pic:nvPicPr><pic:blipFill><a:blip r:embed="rId6"/><a:srcRect b="0" l="0" r="0" t="0"/><a:stretch><a:fillRect/></a:stretch></pic:blipFill><pic:spPr><a:xfrm><a:off x="0" y="0"/><a:ext cx="5029200" cy="3351857"/></a:xfrm><a:prstGeom prst="rect"/><a:ln/></pic:spPr></pic:pic></a:graphicData></a:graphic></wp:inline></w:drawing></w:r><w:r w:rsidDel="00000000" w:rsidR="00000000" w:rsidRPr="00000000"><w:rPr><w:rtl w:val="0"/></w:rPr></w:r></w:p><w:p w:rsidR="00000000" w:rsidDel="00000000" w:rsidP="00000000" w:rsidRDefault="00000000" w:rsidRPr="00000000" w14:paraId="0000021C"><w:pPr><w:jc w:val="center"/><w:rPr/></w:pPr><w:r w:rsidDel="00000000" w:rsidR="00000000" w:rsidRPr="00000000"><w:rPr><w:rFonts w:ascii="Cardo" w:cs="Cardo" w:eastAsia="Cardo" w:hAnsi="Cardo"/><w:i w:val="1"/><w:iCs w:val="1"/><w:sz w:val="18"/><w:szCs w:val="18"/><w:rtl w:val="0"/></w:rPr><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w:r><w:r w:rsidDel="00000000" w:rsidR="00000000" w:rsidRPr="00000000"><w:rPr><w:rtl w:val="0"/></w:rPr></w:r></w:p><w:p w:rsidR="00000000" w:rsidDel="00000000" w:rsidP="00000000" w:rsidRDefault="00000000" w:rsidRPr="00000000" w14:paraId="0000021D"><w:pPr><w:rPr/></w:pPr><w:r w:rsidDel="00000000" w:rsidR="00000000" w:rsidRPr="00000000"><w:br w:type="page"/></w:r><w:r w:rsidDel="00000000" w:rsidR="00000000" w:rsidRPr="00000000"><w:rPr><w:rtl w:val="0"/></w:rPr></w:r></w:p><w:p w:rsidR="00000000" w:rsidDel="00000000" w:rsidP="00000000" w:rsidRDefault="00000000" w:rsidRPr="00000000" w14:paraId="0000021E"><w:pPr><w:jc w:val="center"/><w:rPr/></w:pPr><w:r w:rsidDel="00000000" w:rsidR="00000000" w:rsidRPr="00000000"><w:rPr/><w:drawing><wp:inline distB="0" distT="0" distL="114300" distR="114300"><wp:extent cx="5029200" cy="3544736"/><wp:effectExtent b="0" l="0" r="0" t="0"/><wp:docPr id="2" name="image2.png"/><a:graphic><a:graphicData uri="http://schemas.openxmlformats.org/drawingml/2006/picture"><pic:pic><pic:nvPicPr><pic:cNvPr id="0" name="image2.png"/><pic:cNvPicPr preferRelativeResize="0"/></pic:nvPicPr><pic:blipFill><a:blip r:embed="rId7"/><a:srcRect b="0" l="0" r="0" t="0"/><a:stretch><a:fillRect/></a:stretch></pic:blipFill><pic:spPr><a:xfrm><a:off x="0" y="0"/><a:ext cx="5029200" cy="3544736"/></a:xfrm><a:prstGeom prst="rect"/><a:ln/></pic:spPr></pic:pic></a:graphicData></a:graphic></wp:inline></w:drawing></w:r><w:r w:rsidDel="00000000" w:rsidR="00000000" w:rsidRPr="00000000"><w:rPr><w:rtl w:val="0"/></w:rPr></w:r></w:p><w:p w:rsidR="00000000" w:rsidDel="00000000" w:rsidP="00000000" w:rsidRDefault="00000000" w:rsidRPr="00000000" w14:paraId="0000021F"><w:pPr><w:jc w:val="center"/><w:rPr/></w:pPr><w:r w:rsidDel="00000000" w:rsidR="00000000" w:rsidRPr="00000000"><w:rPr><w:rFonts w:ascii="Times New Roman" w:cs="Times New Roman" w:eastAsia="Times New Roman" w:hAnsi="Times New Roman"/><w:i w:val="1"/><w:iCs w:val="1"/><w:sz w:val="18"/><w:szCs w:val="18"/><w:rtl w:val="0"/></w:rPr><w:t xml:space="preserve">Figure 2. Marginal effects of DAI across FSTS with 95% confidence interval bands.</w:t></w:r><w:r w:rsidDel="00000000" w:rsidR="00000000" w:rsidRPr="00000000"><w:rPr><w:rtl w:val="0"/></w:rPr></w:r></w:p><w:p w:rsidR="00000000" w:rsidDel="00000000" w:rsidP="00000000" w:rsidRDefault="00000000" w:rsidRPr="00000000" w14:paraId="00000220"><w:pPr><w:rPr/></w:pPr><w:r w:rsidDel="00000000" w:rsidR="00000000" w:rsidRPr="00000000"><w:br w:type="page"/></w:r><w:r w:rsidDel="00000000" w:rsidR="00000000" w:rsidRPr="00000000"><w:rPr><w:rtl w:val="0"/></w:rPr></w:r></w:p><w:p w:rsidR="00000000" w:rsidDel="00000000" w:rsidP="00000000" w:rsidRDefault="00000000" w:rsidRPr="00000000" w14:paraId="00000221"><w:pPr><w:jc w:val="center"/><w:rPr/></w:pPr><w:r w:rsidDel="00000000" w:rsidR="00000000" w:rsidRPr="00000000"><w:rPr/><w:drawing><wp:inline distB="0" distT="0" distL="114300" distR="114300"><wp:extent cx="5029200" cy="3546449"/><wp:effectExtent b="0" l="0" r="0" t="0"/><wp:docPr id="4" name="image1.png"/><a:graphic><a:graphicData uri="http://schemas.openxmlformats.org/drawingml/2006/picture"><pic:pic><pic:nvPicPr><pic:cNvPr id="0" name="image1.png"/><pic:cNvPicPr preferRelativeResize="0"/></pic:nvPicPr><pic:blipFill><a:blip r:embed="rId8"/><a:srcRect b="0" l="0" r="0" t="0"/><a:stretch><a:fillRect/></a:stretch></pic:blipFill><pic:spPr><a:xfrm><a:off x="0" y="0"/><a:ext cx="5029200" cy="3546449"/></a:xfrm><a:prstGeom prst="rect"/><a:ln/></pic:spPr></pic:pic></a:graphicData></a:graphic></wp:inline></w:drawing></w:r><w:r w:rsidDel="00000000" w:rsidR="00000000" w:rsidRPr="00000000"><w:rPr><w:rtl w:val="0"/></w:rPr></w:r></w:p><w:p w:rsidR="00000000" w:rsidDel="00000000" w:rsidP="00000000" w:rsidRDefault="00000000" w:rsidRPr="00000000" w14:paraId="00000222"><w:pPr><w:jc w:val="center"/><w:rPr/></w:pPr><w:r w:rsidDel="00000000" w:rsidR="00000000" w:rsidRPr="00000000"><w:rPr><w:rFonts w:ascii="Gungsuh" w:cs="Gungsuh" w:eastAsia="Gungsuh" w:hAnsi="Gungsuh"/><w:i w:val="1"/><w:iCs w:val="1"/><w:sz w:val="18"/><w:szCs w:val="18"/><w:rtl w:val="0"/></w:rPr><w:t xml:space="preserve">Figure 3. Predicted internationalization–performance curve with 95% confidence band. Apparent turning point at FSTS ≈ 88.6% on the original uncentered scale (equivalent to ≈ 84% measured from the sample mean of FSTS) lies in the sparsely populated right tail of the export-intensity distribution and should be read as descriptive rather than as structurally identified. N = 623.</w:t></w:r><w:r w:rsidDel="00000000" w:rsidR="00000000" w:rsidRPr="00000000"><w:rPr><w:rtl w:val="0"/></w:rPr></w:r></w:p><w:sectPr><w:pgSz w:h="15840" w:w="12240" w:orient="portrait"/><w:pgMar w:bottom="1440" w:top="1440" w:left="1440" w:right="1440" w:header="708" w:footer="708"/><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