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Revisiting the Internationalisation–Performance Relationship in an Emerging Market: The Roles of Technological Capability and Digital Adoption</w:t>
      </w:r>
    </w:p>
    <w:p>
      <w:pPr>
        <w:pStyle w:val="Subtitle"/>
      </w:pPr>
      <w:r>
        <w:t>v5.4 — IJoEM blinded manuscript with sector split (Vietnam 2009/2015/2023)</w:t>
      </w:r>
    </w:p>
    <w:p>
      <w:pPr>
        <w:pStyle w:val="Date"/>
      </w:pPr>
      <w:r>
        <w:t>2026-05-02</w:t>
      </w:r>
    </w:p>
    <w:p>
      <w:pPr>
        <w:pStyle w:val="BodyText"/>
      </w:pPr>
      <w:r>
        <w:t>Manuscript classification: research article. Word count (main text excluding abstract, references, tables, figures): approximately 6,800 words. Tables: 2 (Table 1 descriptives in supplementary appendix; Table 2 main empirical pattern in §4.4). Figures: 2 (conceptual model and predicted I–P curves).</w:t>
      </w:r>
    </w:p>
    <w:p>
      <w:pPr>
        <w:pStyle w:val="Heading1"/>
      </w:pPr>
      <w:r>
        <w:t>Abstract</w:t>
      </w:r>
    </w:p>
    <w:p>
      <w:pPr>
        <w:pStyle w:val="FirstParagraph"/>
      </w:pPr>
      <w:r>
        <w:t>Purpose — This study revisits the internationalisation–performance relationship in an emerging market and examines how technological capability and digital adoption shape firms’ productivity outcomes under conditions of institutional and digital transition. Focusing on Vietnam, the study asks whether export intensity exhibits a nonlinear association with labour productivity and whether technological capability and digital adoption condition that relationship in different ways.</w:t>
      </w:r>
    </w:p>
    <w:p>
      <w:pPr>
        <w:pStyle w:val="BodyText"/>
      </w:pPr>
      <w:r>
        <w:t>Design/methodology/approach — The study uses three waves of World Bank Enterprise Survey microdata for Vietnam (2009, 2015 and 2023; analytic N = 989, 956 and 1,013, pooled 2,958) and estimates ordinary least squares models with HC1 robust standard errors, quadratic export-intensity terms and interaction specifications. The analysis distinguishes a Technological Capability Index (TCI_z, the within-wave standardised mean of internationally recognised quality certification and foreign-licensed technology) from a Digital Adoption Index (DAI_z, the within-wave standardised website-based indicator of basic digital presence). To preserve construct separation, no item is shared between the primary TCI and DAI specifications. Lind–Mehlum (Lind and Mehlum, 2010) curvature tests, Heckman two-step and control-function selection corrections, Paternoster (1998) cross-wave z-tests and richer measurement panels (TCI_full, DAI_rich, micro-firm exclusion, common-N) complement the baseline.</w:t>
      </w:r>
    </w:p>
    <w:p>
      <w:pPr>
        <w:pStyle w:val="BodyText"/>
      </w:pPr>
      <w:r>
        <w:t>Findings — The internationalisation–performance relationship is robustly nonlinear: the Lind–Mehlum test rejects monotonicity in all three waves (2009 p = .006, 2015 p = .009, 2023 p = .013) and in the pooled sample (p &lt; .001), with turning points clustered between 39 and 46 per cent of direct-export intensity. Technological capability is positively associated with productivity in all three waves and in the pooled sample (β = 0.215, 0.128, 0.123 and 0.179, all p ≤ .010), and moderates the curvature in three of four panels (M3 joint p = .040, .713, .027 and .003). Digital adoption is positive in 2009 (β = 0.175, p &lt; .001), null in 2015 (β = −0.044, p = .377), positive in 2023 (β = 0.095, p = .038) and positive in the pooled sample (β = 0.078, p = .004); its moderation channel emerges most clearly in 2023 (FSTS_c × DAI_z = −0.912, p = .043; M8 joint p = .062, marginal). Paternoster cross-wave z-tests confirm that the DAI drop between 2009 and 2015 (z = 3.353, p &lt; .001) and the DAI re-emergence between 2015 and 2023 (z = −2.051, p = .040) are statistically distinguishable shifts.</w:t>
      </w:r>
    </w:p>
    <w:p>
      <w:pPr>
        <w:pStyle w:val="BodyText"/>
      </w:pPr>
      <w:r>
        <w:t>Originality/value — The study contributes to research on emerging markets by showing that the productivity returns to internationalisation depend not only on export intensity but also on how firms combine deeper capability accumulation with basic digital adoption under transitional institutional conditions. It also offers a cleaner measurement strategy by separating technological capability from a harmonised website-based digital-adoption proxy with no shared items, and shows that the sign of digital moderation is not theoretically fixed but contingent on the stage of digital transition.</w:t>
      </w:r>
    </w:p>
    <w:p>
      <w:pPr>
        <w:pStyle w:val="BodyText"/>
      </w:pPr>
      <w:r>
        <w:t>Keywords: internationalisation–performance; emerging markets; digital adoption; technological capability; Vietnam; firm productivity.</w:t>
      </w:r>
    </w:p>
    <w:p>
      <w:pPr>
        <w:pStyle w:val="BodyText"/>
      </w:pPr>
      <w:r>
        <w:t>JEL classification: F23 (multinational firms; international business); O33 (technological change: choices and consequences); D22 (firm behaviour: empirical analysis); L25 (firm performance); O53 (economywide country studies — Asia).</w:t>
      </w:r>
    </w:p>
    <w:p>
      <w:pPr>
        <w:pStyle w:val="BodyText"/>
      </w:pPr>
      <w:r>
        <w:t>Paper type: Research paper.</w:t>
      </w:r>
    </w:p>
    <w:p>
      <w:pPr>
        <w:pStyle w:val="Heading1"/>
      </w:pPr>
      <w:r>
        <w:t>Highlights</w:t>
      </w:r>
    </w:p>
    <w:p>
      <w:pPr>
        <w:pStyle w:val="FirstParagraph"/>
      </w:pPr>
      <w:r>
        <w:t>• The internationalisation–performance relationship in Vietnamese firms is robustly nonlinear: the Lind–Mehlum test rejects monotonicity in all three waves (2009 p = .006, 2015 p = .009, 2023 p = .013) and in the pooled sample (p &lt; .001), with turning points clustered between 39 and 46 % of direct-export intensity.</w:t>
      </w:r>
    </w:p>
    <w:p>
      <w:pPr>
        <w:pStyle w:val="BodyText"/>
      </w:pPr>
      <w:r>
        <w:t>• Technological capability and digital adoption are separated as non-overlapping primary measures: TCI_z is the within-wave standardised mean of quality certification and foreign-licensed technology, whereas DAI_z is the within-wave standardised website-based digital-presence indicator.</w:t>
      </w:r>
    </w:p>
    <w:p>
      <w:pPr>
        <w:pStyle w:val="BodyText"/>
      </w:pPr>
      <w:r>
        <w:t>• TCI_z is positively associated with productivity in all three waves (β = 0.215, 0.128, 0.123) and pooled (β = 0.179, p &lt; .001), and moderates the curvature in three of four panels (M3 joint p = .040, .713, .027 and .003).</w:t>
      </w:r>
    </w:p>
    <w:p>
      <w:pPr>
        <w:pStyle w:val="BodyText"/>
      </w:pPr>
      <w:r>
        <w:t>• DAI_z is strongest in 2009 (β = 0.175, p &lt; .001), null in 2015 (β = −0.044, p = .377), positive in 2023 (β = 0.095, p = .038) and pooled (β = 0.078, p = .004); the cross-wave shifts are statistically distinguishable (Paternoster z = 3.353 between 2009 and 2015; z = −2.051 between 2015 and 2023).</w:t>
      </w:r>
    </w:p>
    <w:p>
      <w:pPr>
        <w:pStyle w:val="BodyText"/>
      </w:pPr>
      <w:r>
        <w:t>• DAI moderation is concentrated in 2023, where FSTS_c × DAI_z = −0.912 (p = .043) and the M8 joint test is marginal (p = .062); the pooled M8 joint test is also marginal (p = .083), driven by 2023 rather than by a stable cross-period moderation.</w:t>
      </w:r>
    </w:p>
    <w:p>
      <w:pPr>
        <w:pStyle w:val="Heading1"/>
      </w:pPr>
      <w:r>
        <w:t>1. Introduction</w:t>
      </w:r>
    </w:p>
    <w:p>
      <w:pPr>
        <w:pStyle w:val="Heading2"/>
      </w:pPr>
      <w:r>
        <w:t>1.1 Background and motivation</w:t>
      </w:r>
    </w:p>
    <w:p>
      <w:pPr>
        <w:pStyle w:val="FirstParagraph"/>
      </w:pPr>
      <w:r>
        <w:t>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streams, but they may also face rising coordination costs, information-processing burdens, and organisational strain as their foreign involvement deepens (Cuervo-Cazurra and Genc, 2008; Wright et al., 2005).</w:t>
      </w:r>
    </w:p>
    <w:p>
      <w:pPr>
        <w:pStyle w:val="BodyText"/>
      </w:pPr>
      <w:r>
        <w:t>This tension lies at the heart of the I–P literature. A long tradition of research has argued that internationalisation can improve performance at lower and intermediate levels through scale, learning, and diversification, while also generating diminishing or negative returns at higher levels because of complexity and coordination burdens. Meta-analytic evidence strongly supports the view that nonlinearity is a central feature of this relationship rather than an empirical anomaly (Vernon, 1979; Lu and Beamish, 2004; Hennart, 2007; Marano et al., 2016).</w:t>
      </w:r>
    </w:p>
    <w:p>
      <w:pPr>
        <w:pStyle w:val="BodyText"/>
      </w:pPr>
      <w:r>
        <w:t>Digitalisation adds a further layer of complexity to this debate. Digital tools can reduce communication frictions, accelerate transactions, and support coordination across borders. Yet those benefits do not arise automatically. Their realised value depends on whether firms possess the organisational depth, absorptive capacity, and complementary routines needed to translate digital adoption into productivity gains (Cohen and Levinthal, 1990; Verhoef et al., 2021). For this reason, digital capability should not be treated as a universally beneficial resource whose payoff is constant across firms and over time.</w:t>
      </w:r>
    </w:p>
    <w:p>
      <w:pPr>
        <w:pStyle w:val="BodyText"/>
      </w:pPr>
      <w:r>
        <w:t>The Vietnamese setting makes this issue especially important. Because firms are embedded in an economy undergoing capability upgrading and digital transition, both the benefits of internationalisation and the payoff from digitalisation may vary across stages of development. This raises a central question for the present study: does digital capability in Vietnam function as a stable performance-enhancing asset, or does it operate as a stage-contingent resource whose value changes over the lifecycle of internationalisation?</w:t>
      </w:r>
    </w:p>
    <w:p>
      <w:pPr>
        <w:pStyle w:val="BodyText"/>
      </w:pPr>
      <w:r>
        <w:t>Three institutional turning points shape the observation window. Vietnam acceded to the World Trade Organization in early 2007, which opened the period preceding the 2009 wave and converted a domestically oriented exporter cohort into one with broader market exposure but limited absorptive infrastructure. The 2015 wave captures the middle of a second phase, in which expanding manufacturing exports coexisted with under-developed digital trade infrastructure, weak cross-border logistics integration, and an exporter cohort still concentrated in labour-intensive segments. The 2023 wave follows the launch of the National Digital Transformation Programme in 2020, the rapid expansion of cross-border e-payment and e-commerce platforms, and the rebalancing of foreign direct investment toward digitally-mediated and services-linked production. The three waves therefore observe firms under structurally different combinations of internationalisation pressure and digital infrastructure availability, which is what makes the lifecycle reading testable rather than purely conceptual.</w:t>
      </w:r>
    </w:p>
    <w:p>
      <w:pPr>
        <w:pStyle w:val="BodyText"/>
      </w:pPr>
      <w:r>
        <w:t>These shifts are not cosmetic. The composition of the exporter cohort itself evolves across the three waves: the share of firms reporting any positive direct-export intensity declines as services and FDI-linked supply-chain firms enter the sample, while the average level of foundational digital adoption rises with the diffusion of websites, electronic payment systems, and digital transaction interfaces. Reading the I–P relationship and the digital-adoption channel as fixed structural facts across this fourteen-year window misses the fact that the underlying firm population, the binding coordination costs, and the institutional scaffolding for cross-border trade all change materially.</w:t>
      </w:r>
    </w:p>
    <w:p>
      <w:pPr>
        <w:pStyle w:val="Heading2"/>
      </w:pPr>
      <w:r>
        <w:t>1.2 Research gap</w:t>
      </w:r>
    </w:p>
    <w:p>
      <w:pPr>
        <w:pStyle w:val="FirstParagraph"/>
      </w:pPr>
      <w:r>
        <w:t>Three gaps motivate this study. First, existing work often treats digitalisation as a broadly positive resource without paying sufficient attention to temporal and contextual variation in its payoff. Such a treatment risks implying that digital adoption produces a relatively stable performance premium across firms and across stages of economic transition. In reality, digitalisation may generate uneven returns because firms differ in scale, routines, and complementary capability.</w:t>
      </w:r>
    </w:p>
    <w:p>
      <w:pPr>
        <w:pStyle w:val="BodyText"/>
      </w:pPr>
      <w:r>
        <w:t>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 or transaction mechanisms (Bharadwaj et al., 2013; Verhoef et al., 2021). Although these constructs are related, they should not be treated as interchangeable. Collapsing them into a single umbrella variable can reduce construct clarity and blur the mechanisms linking digitalisation to performance.</w:t>
      </w:r>
    </w:p>
    <w:p>
      <w:pPr>
        <w:pStyle w:val="BodyText"/>
      </w:pPr>
      <w:r>
        <w:t>Third, pooled estimates may obscure substantial lifecycle heterogeneity. In a setting such as Vietnam, where firms and institutions pass through distinct stages of transition, the role of internationalisation, technological capability, and digital adoption may vary considerably across survey waves. A pooled model is useful for identifying average effects, but it is insufficient if the underlying relationships shift across time. A design that combines pooled and wave-specific analysis is therefore necessary to determine whether the observed effects are stable or stage contingent.</w:t>
      </w:r>
    </w:p>
    <w:p>
      <w:pPr>
        <w:pStyle w:val="Heading2"/>
      </w:pPr>
      <w:r>
        <w:t>1.3 Contribution</w:t>
      </w:r>
    </w:p>
    <w:p>
      <w:pPr>
        <w:pStyle w:val="FirstParagraph"/>
      </w:pPr>
      <w:r>
        <w:t>This study makes three contributions to the literature. First, it refines the I–P debate by showing that the Vietnamese evidence supports a nonlinear relationship, but that the salience and visibility of that relationship vary across time. Rather than treating nonlinearity as a fixed structural fact that appears identically in every period, the analysis shows that the I–P curve must be read in conjunction with the broader capability environment.</w:t>
      </w:r>
    </w:p>
    <w:p>
      <w:pPr>
        <w:pStyle w:val="BodyText"/>
      </w:pPr>
      <w:r>
        <w:t>Second, the study improves construct validity by separating technological capability from foundational digital adoption. This distinction matters theoretically because deeper capability stocks and basic digital enablement may generate performance through different channels. It also matters empirically because the two constructs do not exhibit identical patterns across the Vietnamese waves.</w:t>
      </w:r>
    </w:p>
    <w:p>
      <w:pPr>
        <w:pStyle w:val="BodyText"/>
      </w:pPr>
      <w:r>
        <w:t>Third, the study introduces a lifecycle interpretation of digital internationalisation. The evidence suggests that digital capability is neither a universally stable premium nor a uniformly ineffective resource. Instead, it is an uneven and stage-dependent source of performance heterogeneity. This perspective helps explain why pooled average effects may coexist with substantial wave-specific differences.</w:t>
      </w:r>
    </w:p>
    <w:p>
      <w:pPr>
        <w:pStyle w:val="Heading2"/>
      </w:pPr>
      <w:r>
        <w:t>1.4 Roadmap</w:t>
      </w:r>
    </w:p>
    <w:p>
      <w:pPr>
        <w:pStyle w:val="FirstParagraph"/>
      </w:pPr>
      <w:r>
        <w:t>The remainder of the paper is organised as follows. Section 2 develops the theoretical framework and hypotheses. Section 3 describes the data, variables, and empirical strategy. Section 4 presents the results. Section 5 discusses the theoretical and managerial implications. Section 6 concludes.</w:t>
      </w:r>
    </w:p>
    <w:p>
      <w:pPr>
        <w:pStyle w:val="Heading1"/>
      </w:pPr>
      <w:r>
        <w:t>2. Theory and hypotheses</w:t>
      </w:r>
    </w:p>
    <w:p>
      <w:pPr>
        <w:pStyle w:val="Heading2"/>
      </w:pPr>
      <w:r>
        <w:t>2.1 Internationalisation and firm performance</w:t>
      </w:r>
    </w:p>
    <w:p>
      <w:pPr>
        <w:pStyle w:val="FirstParagraph"/>
      </w:pPr>
      <w:r>
        <w:t>The relationship between internationalisation and firm performance is unlikely to be linear in a transitional economy such as Vietnam. Foreign expansion can improve performance through greater market reach, diversification, and learning from external environments. Firms may use internationalisation to spread fixed costs, access new customers, and acquire knowledge that supports operational improvement.</w:t>
      </w:r>
    </w:p>
    <w:p>
      <w:pPr>
        <w:pStyle w:val="BodyText"/>
      </w:pPr>
      <w:r>
        <w:t>At the same time, deeper international involvement often generates coordination costs and organisational burdens. Firms must manage multiple markets, reconcile diverse customer demands, process more information, and sustain greater managerial control. As foreign expansion intensifies, these costs may grow faster than the benefits, producing diminishing returns or even a decline in performance. This basic logic underpins the classic nonlinear view of the I–P relationship (Marano et al., 2016).</w:t>
      </w:r>
    </w:p>
    <w:p>
      <w:pPr>
        <w:pStyle w:val="BodyText"/>
      </w:pPr>
      <w:r>
        <w:t>This argument is especially plausible in Vietnam because firms operate under uneven capability conditions. Some firms may convert foreign expansion into learning and scale advantages, whereas others may encounter organisational strain sooner. The relevant expectation is therefore not a uniformly positive slope, but a nonlinear relationship in which gains from internationalisation become progressively more difficult to sustain.</w:t>
      </w:r>
    </w:p>
    <w:p>
      <w:pPr>
        <w:pStyle w:val="BodyText"/>
      </w:pPr>
      <w:r>
        <w:t>Two opposing forces underpin the curvature. On the upside, increasing direct-export intensity creates scale economies, knowledge spillovers from foreign customers, and learning-by-exporting effects that lift productivity. On the downside, coordinating production for institutionally distant markets imposes information-processing costs that grow non-linearly: each additional foreign market adds compliance demands, customer-relationship overhead, and supply-chain dependencies whose marginal coordination cost rises faster than the marginal scale benefit beyond a threshold. In a transitional setting where ports, trade-finance institutions, digital marketplaces, and dispute-resolution mechanisms are still maturing, this threshold may bind at a lower level of export intensity than in mature economies, sharpening the curvature relative to the meta-analytic baseline (Hennart, 2007; Wagner, 2007; Marano et al., 2016).</w:t>
      </w:r>
    </w:p>
    <w:p>
      <w:pPr>
        <w:pStyle w:val="BlockText"/>
      </w:pPr>
      <w:r>
        <w:t>H1. The relationship between internationalisation and firm performance in Vietnam is nonlinear.</w:t>
      </w:r>
    </w:p>
    <w:p>
      <w:pPr>
        <w:pStyle w:val="Heading2"/>
      </w:pPr>
      <w:r>
        <w:t>2.2 Technological capability and firm performance</w:t>
      </w:r>
    </w:p>
    <w:p>
      <w:pPr>
        <w:pStyle w:val="FirstParagraph"/>
      </w:pPr>
      <w:r>
        <w:t>Technological capability refers to deeper firm-internal stocks of learning, knowledge integration, process improvement, and problem-solving capacity. It is central to the firm’s ability to upgrade operations, adapt to changing market demands, and absorb external knowledge and adapt routines under changing conditions (Cohen and Levinthal, 1990; Lall, 1992; Helfat and Peteraf, 2003; Teece, 2007). In international settings, these functions are particularly important because firms must respond to unfamiliar markets, coordinate across boundaries, and integrate lessons from foreign activity into organisational routines.</w:t>
      </w:r>
    </w:p>
    <w:p>
      <w:pPr>
        <w:pStyle w:val="BodyText"/>
      </w:pPr>
      <w:r>
        <w:t>A firm with stronger technological capability is more likely to transform international exposure into productivity gains. It can adjust products and processes more effectively, learn from foreign customers and competitors more quickly, and cope better with the operational demands created by export activity. Even when such capability does not fundamentally alter the curvature of the I–P relationship, it should improve the firm’s overall performance level.</w:t>
      </w:r>
    </w:p>
    <w:p>
      <w:pPr>
        <w:pStyle w:val="BodyText"/>
      </w:pPr>
      <w:r>
        <w:t>This implies a positive direct association between technological capability and firm performance in Vietnam. Stronger technological capability should raise the firm’s capacity to benefit from internationalisation and should also support productivity more broadly.</w:t>
      </w:r>
    </w:p>
    <w:p>
      <w:pPr>
        <w:pStyle w:val="BodyText"/>
      </w:pPr>
      <w:r>
        <w:t>Operationally, technological capability in the Lall (1992) tradition is built from items that capture the firm’s ability to absorb, deploy, and improve foreign technology: foreign-licensed technology indicates direct technology transfer; internationally recognised quality certification indicates the organisational ability to meet foreign quality standards; product-innovation and R&amp;D activity indicate the absorptive capacity (năng lực hấp thụ in the Cohen and Levinthal sense) needed to convert external knowledge into productivity gains. The constructed TCI_z therefore captures stock rather than flow: it indexes the firm’s accumulated capability to engage with foreign technology and standards, not the volume of any one digital transaction.</w:t>
      </w:r>
    </w:p>
    <w:p>
      <w:pPr>
        <w:pStyle w:val="BlockText"/>
      </w:pPr>
      <w:r>
        <w:t>H2. Technological capability (TCI_z) is positively associated with firm performance in Vietnam.</w:t>
      </w:r>
    </w:p>
    <w:p>
      <w:pPr>
        <w:pStyle w:val="Heading2"/>
      </w:pPr>
      <w:r>
        <w:t>2.3 Foundational digital adoption and firm performance</w:t>
      </w:r>
    </w:p>
    <w:p>
      <w:pPr>
        <w:pStyle w:val="FirstParagraph"/>
      </w:pPr>
      <w:r>
        <w:t>Foundational digital adoption captures a more basic layer of digital readiness than technological capability. It reflects the presence and use of digitally enabled interfaces, transaction-supporting tools, and practical digital mechanisms that help firms communicate, transact, and coordinate. While this digital layer may not represent the full depth of digitally integrated organisational capability, it can still matter for firm performance by reducing information frictions and improving process speed (Bharadwaj et al., 2013; Verhoef et al., 2021).</w:t>
      </w:r>
    </w:p>
    <w:p>
      <w:pPr>
        <w:pStyle w:val="BodyText"/>
      </w:pPr>
      <w:r>
        <w:t>For firms participating in foreign markets, foundational digital adoption may be especially valuable. Exporting requires timely information exchange, coordination with customers and partners, and efficient processing of transactions across distance. Digital tools can lower these frictions and create direct performance gains. At the same time, those gains are unlikely to be automatic. Their value depends on whether the firm has the scale, routines, and managerial capacity needed to use digital tools effectively.</w:t>
      </w:r>
    </w:p>
    <w:p>
      <w:pPr>
        <w:pStyle w:val="BodyText"/>
      </w:pPr>
      <w:r>
        <w:t>Because of this, foundational digital adoption should be expected to show a positive average association with performance, but not necessarily one that is uniform across all contexts and periods. The average effect may be positive even if the realised payoff varies across stages of internationalisation.</w:t>
      </w:r>
    </w:p>
    <w:p>
      <w:pPr>
        <w:pStyle w:val="BodyText"/>
      </w:pPr>
      <w:r>
        <w:t>It is useful at this point to be precise about what the DAI_z composite captures and what it does not. Following Verhoef et al. (2021), digital capability can be located on a four-tier hierarchy: Tier 1 covers digital presence (websites, e-mail); Tier 2 covers digital communication and basic e-commerce; Tier 3 covers digital process integration (electronic payment, supply-chain digitisation); Tier 4 covers dynamic digital capability (data-driven decision-making, AI integration). The cross-wave-comparable DAI_z used in this paper is anchored in Tier 1–2 indicators (website presence, foreign-licensed technology) rather than the Tier 3–4 dynamic-capability layer; richer Tier 3 items are introduced as a 2023-only robustness extension in §4.5. This deliberate restriction prevents us from conflating the basic digital-adoption channel — which is what the construct can identify across the 2009–2023 window — with the deeper digital-transformation layer that the WBES instrument cannot consistently measure across waves.</w:t>
      </w:r>
    </w:p>
    <w:p>
      <w:pPr>
        <w:pStyle w:val="BlockText"/>
      </w:pPr>
      <w:r>
        <w:t>H3. Foundational digital adoption (DAI_z) is positively associated with firm performance in Vietnam on average.</w:t>
      </w:r>
    </w:p>
    <w:p>
      <w:pPr>
        <w:pStyle w:val="Heading2"/>
      </w:pPr>
      <w:r>
        <w:t>2.4 Stage-contingent digital value</w:t>
      </w:r>
    </w:p>
    <w:p>
      <w:pPr>
        <w:pStyle w:val="FirstParagraph"/>
      </w:pPr>
      <w:r>
        <w:t>The core theoretical claim of this study is that digital capability is stage contingent. In early phases of internationalisation, digital tools may create relatively direct gains by helping firms communicate faster, access markets more easily, and manage transactions more efficiently. In later phases, however, the benefits of digitalisation may become more conditional because firms face more complex coordination demands. Under such conditions, the value of digital adoption depends increasingly on whether digital tools are embedded in broader organisational routines and aligned with export scale.</w:t>
      </w:r>
    </w:p>
    <w:p>
      <w:pPr>
        <w:pStyle w:val="BodyText"/>
      </w:pPr>
      <w:r>
        <w:t>This argument implies that digitalisation can be a double-edged sword in a transitional economy. It may generate observable gains, but those gains are uneven and dependent on timing, scale, and complementary capability. In some phases, digital adoption may operate mainly as a direct performance-enhancing factor. In others, it may weaken, disappear, or become conditional on the firm’s level of internationalisation.</w:t>
      </w:r>
    </w:p>
    <w:p>
      <w:pPr>
        <w:pStyle w:val="BodyText"/>
      </w:pPr>
      <w:r>
        <w:t>This expectation is particularly relevant in Vietnam, where firms operate in an environment of transition rather than full institutional and capability stability. A lifecycle interpretation is therefore more appropriate than a uniform premium interpretation.</w:t>
      </w:r>
    </w:p>
    <w:p>
      <w:pPr>
        <w:pStyle w:val="BodyText"/>
      </w:pPr>
      <w:r>
        <w:t>Two further considerations sharpen the prediction. First, when the exporter cohort is concentrated in low-export-intensity manufacturing, foundational digital tools mainly perform a market-access role: they help the firm find customers, communicate prices and product information, and process simple transactions. The marginal productivity gain from this role is positive but broadly distributed across the export-intensity range. Second, when the exporter cohort shifts toward firms that operate at higher export intensity and engage in tighter cross-border coordination, the same Tier 1–2 digital tools begin to interact with the marginal coordination cost of additional foreign markets. Whether this interaction is substitutive (digital tools lower coordination cost and amplify the productivity dividend) or complementary with diminishing returns (digital tools at high intensity reveal the absence of deeper integration and amplify coordination strain) is fundamentally an empirical question that this paper treats as the test of H4.</w:t>
      </w:r>
    </w:p>
    <w:p>
      <w:pPr>
        <w:pStyle w:val="BlockText"/>
      </w:pPr>
      <w:r>
        <w:t>H4. The performance relevance of foundational digital adoption (DAI_z) in Vietnam varies across stages of internationalisation and becomes more conditional in later phases of transition.</w:t>
      </w:r>
    </w:p>
    <w:p>
      <w:pPr>
        <w:pStyle w:val="Heading1"/>
      </w:pPr>
      <w:r>
        <w:t>3. Data, variables, and empirical strategy</w:t>
      </w:r>
    </w:p>
    <w:p>
      <w:pPr>
        <w:pStyle w:val="Heading2"/>
      </w:pPr>
      <w:r>
        <w:t>3.1 Data structure</w:t>
      </w:r>
    </w:p>
    <w:p>
      <w:pPr>
        <w:pStyle w:val="FirstParagraph"/>
      </w:pPr>
      <w:r>
        <w:t>The empirical analysis uses harmonised firm-level evidence for Vietnam across three waves of the World Bank Enterprise Survey: 2009, 2015 and 2023 (World Bank, 2010, 2016, 2024). Estimating the models separately by wave makes it possible to observe whether relationships are stable or time specific, while pooled estimation identifies average effects across the broader period.</w:t>
      </w:r>
    </w:p>
    <w:p>
      <w:pPr>
        <w:pStyle w:val="BodyText"/>
      </w:pPr>
      <w:r>
        <w:t>The effective estimation sample varies across model specifications because of missing values in the capability variables. In the full wave-specific models, the usable samples are 989 observations for 2009, 958 for 2015, and 1,013 for 2023. The pooled full model contains 2,960 observations. This structure provides sufficient variation to compare direct effects and conditional patterns across stages.</w:t>
      </w:r>
    </w:p>
    <w:p>
      <w:pPr>
        <w:pStyle w:val="Heading2"/>
      </w:pPr>
      <w:r>
        <w:t>3.2 Variables</w:t>
      </w:r>
    </w:p>
    <w:p>
      <w:pPr>
        <w:pStyle w:val="FirstParagraph"/>
      </w:pPr>
      <w:r>
        <w:t>Firm performance is measured by log labour productivity (lnLP). Internationalisation is measured by direct-export intensity (FSTS), mean-centred within wave (FSTS_c) and squared (FSTS_c²) so that linear and quadratic terms can be entered jointly to test for nonlinearity.</w:t>
      </w:r>
    </w:p>
    <w:p>
      <w:pPr>
        <w:pStyle w:val="BodyText"/>
      </w:pPr>
      <w:r>
        <w:t>The analysis uses two distinct capability constructs. The Technological Capability Index (TCI_z) captures deeper capability stocks related to learning, upgrading, and internal competence accumulation, anchored in Lall (1992) and Cohen and Levinthal (1990). The Digital Adoption Index (DAI_z) captures a foundational layer of digital adoption — digital presence and basic digital transaction support — rather than higher-order digitally integrated organisational transformation (Bharadwaj et al., 2013; Verhoef et al., 2021). Each composite is z-standardised within wave so that the reported coefficients are comparable in magnitude. This separation is deliberate because the study is interested in whether the two domains exhibit different empirical roles.</w:t>
      </w:r>
    </w:p>
    <w:p>
      <w:pPr>
        <w:pStyle w:val="BodyText"/>
      </w:pPr>
      <w:r>
        <w:t>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 quality certification) and e6 (foreign-licensed technology), each recoded from WBES 1/2 to 1/0 binary form. The primary Digital Adoption Index (DAI_z) is the within-wave standardised website-presence indicator c22b, recoded from 1/2 to 1/0. Under this revised primary specification, no item is shared between the TCI and DAI composites — e6 belongs exclusively to the capability construct, while c22b alone serves as a harmonised cross-wave proxy for basic digital presence. Cross-wave-comparable transaction-level digital items are absent from the 2009 and 2015 instruments, so DAI_z should be interpreted as a Tier 1–2 digital-adoption measure rather than as a fully integrated digital-capability construct (Bharadwaj et al., 2013; Verhoef et al., 2021).</w:t>
      </w:r>
    </w:p>
    <w:p>
      <w:pPr>
        <w:pStyle w:val="BodyText"/>
      </w:pPr>
      <w:r>
        <w:t>Two enriched composites are used in the §4.5 robustness panel where item availability allows. TCI_full adds h1 (introduced new or significantly improved product) and h8 (R&amp;D expenditure indicator) to the TCI items in 2015 and 2023, where h1 and h8 are present. DAI_rich, constructed only for 2023, extends the website-presence indicator with k33 (share of sales received via electronic payment) and k38 (share of supplier payments made via electronic payment), in both continuous (k33 / 100, k38 / 100) and binary (k33 &gt; 0, k38 &gt; 0) variants. DAI_rich thus moves from basic digital presence toward a transaction-enabling digital-adoption construct, but it is treated as a measurement-depth robustness check rather than as the primary specification because k33 and k38 are unavailable in the 2009 and 2015 waves.</w:t>
      </w:r>
    </w:p>
    <w:p>
      <w:pPr>
        <w:pStyle w:val="BodyText"/>
      </w:pPr>
      <w:r>
        <w:t>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A note on missing-code handling. The WBES instrument codes don’t-know and refused responses as −9. We treat −9 as missing before any composite is built and apply listwise deletion on the focal variable set (lnLP, lnEmp, FirmAge, ForeignOwned, FSTS, TCI_thin, DAI_thin, sector1). The resulting analytic samples are 989, 958, and 1,013 observations for 2009, 2015, and 2023 respectively; pooled N is 2,960.</w:t>
      </w:r>
    </w:p>
    <w:p>
      <w:pPr>
        <w:pStyle w:val="Heading2"/>
      </w:pPr>
      <w:r>
        <w:t>3.3 Model sequence</w:t>
      </w:r>
    </w:p>
    <w:p>
      <w:pPr>
        <w:pStyle w:val="FirstParagraph"/>
      </w:pPr>
      <w:r>
        <w:t>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w:t>
      </w:r>
    </w:p>
    <w:p>
      <w:pPr>
        <w:pStyle w:val="BodyText"/>
      </w:pPr>
      <w:r>
        <w:t>This design separates three analytical questions. First, is the I–P relationship nonlinear? Second, are TCI_z and DAI_z directly associated with performance? Third, does the role of digital adoption become more conditional as export intensity rises? Throughout, results are described as associations rather than effects, consistent with the inferential limits of repeated-cross-section data (Antonakis et al., 2010; Wooldridge, 2010).</w:t>
      </w:r>
    </w:p>
    <w:p>
      <w:pPr>
        <w:pStyle w:val="Heading2"/>
      </w:pPr>
      <w:r>
        <w:t>3.4 Replication and reproducibility</w:t>
      </w:r>
    </w:p>
    <w:p>
      <w:pPr>
        <w:pStyle w:val="FirstParagraph"/>
      </w:pPr>
      <w:r>
        <w:t>The full pipeline is implemented as a 10-step Stata blueprint distributed with the manuscript. The build steps (01–04) clean each WBES wave, harmonise the focal variable set, and append the three waves into a pooled file with within-wave centring and z-standardisation reapplied. Estimation steps (05–09) cover the M0–M8 nested sequence, the Lind–Mehlum turning-point check, manual Heckman selection probes, Paternoster (1998) cross-wave z-tests, and the robustness panels described in §4.5. The export step (10) writes the manuscript-facing tables and Figure 2 directly from the stored estimates. Rerunning the pipeline from a fresh clone reproduces every coefficient reported below; the manuscript text rather than the do-file output is the object that adjusts when the rerun drifts from the prose.</w:t>
      </w:r>
    </w:p>
    <w:p>
      <w:pPr>
        <w:pStyle w:val="Heading1"/>
      </w:pPr>
      <w:r>
        <w:t>4. Results</w:t>
      </w:r>
    </w:p>
    <w:p>
      <w:pPr>
        <w:pStyle w:val="FirstParagraph"/>
      </w:pPr>
      <w:r>
        <w:t>Table 1 reports analytic-sample summary statistics by wave. Three patterns are worth noting before the inferential analysis. The share of firms reporting any positive direct-export intensity declines from 28.4 % in 2009 to 20.7 % in 2015 to 18.8 % in 2023, reflecting the rebalancing of the Vietnamese exporter cohort away from labour-intensive manufacturing toward services and FDI-linked supply-chain firms during the observation window. The within-wave mean of basic digital adoption (c22b website indicator) rises from 0.425 in 2009 to 0.483 in 2015 and 0.498 in 2023, indicating broad diffusion of basic digital presence across the Vietnamese firm population over the 14-year window. The mean of log labour productivity rises monotonically (19.41 / 20.04 / 20.55), consistent with broader Vietnamese productivity convergence over the period.</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Variable</w:t>
            </w:r>
          </w:p>
        </w:tc>
        <w:tc>
          <w:tcPr>
            <w:tcW w:type="dxa" w:w="1872"/>
          </w:tcPr>
          <w:p>
            <w:r>
              <w:t>2009 (N = 989)</w:t>
            </w:r>
          </w:p>
        </w:tc>
        <w:tc>
          <w:tcPr>
            <w:tcW w:type="dxa" w:w="1872"/>
          </w:tcPr>
          <w:p>
            <w:r>
              <w:t>2015 (N = 958)</w:t>
            </w:r>
          </w:p>
        </w:tc>
        <w:tc>
          <w:tcPr>
            <w:tcW w:type="dxa" w:w="1872"/>
          </w:tcPr>
          <w:p>
            <w:r>
              <w:t>2023 (N = 1,013)</w:t>
            </w:r>
          </w:p>
        </w:tc>
        <w:tc>
          <w:tcPr>
            <w:tcW w:type="dxa" w:w="1872"/>
          </w:tcPr>
          <w:p>
            <w:r>
              <w:t>Pooled (N = 2,960)</w:t>
            </w:r>
          </w:p>
        </w:tc>
      </w:tr>
      <w:tr>
        <w:tc>
          <w:tcPr>
            <w:tcW w:type="dxa" w:w="1872"/>
          </w:tcPr>
          <w:p>
            <w:r>
              <w:t>lnLP (log labour productivity)</w:t>
            </w:r>
          </w:p>
        </w:tc>
        <w:tc>
          <w:tcPr>
            <w:tcW w:type="dxa" w:w="1872"/>
          </w:tcPr>
          <w:p>
            <w:r>
              <w:t>19.41 (1.31)</w:t>
            </w:r>
          </w:p>
        </w:tc>
        <w:tc>
          <w:tcPr>
            <w:tcW w:type="dxa" w:w="1872"/>
          </w:tcPr>
          <w:p>
            <w:r>
              <w:t>20.04 (1.46)</w:t>
            </w:r>
          </w:p>
        </w:tc>
        <w:tc>
          <w:tcPr>
            <w:tcW w:type="dxa" w:w="1872"/>
          </w:tcPr>
          <w:p>
            <w:r>
              <w:t>20.55 (1.47)</w:t>
            </w:r>
          </w:p>
        </w:tc>
        <w:tc>
          <w:tcPr>
            <w:tcW w:type="dxa" w:w="1872"/>
          </w:tcPr>
          <w:p>
            <w:r>
              <w:t>20.00 (1.49)</w:t>
            </w:r>
          </w:p>
        </w:tc>
      </w:tr>
      <w:tr>
        <w:tc>
          <w:tcPr>
            <w:tcW w:type="dxa" w:w="1872"/>
          </w:tcPr>
          <w:p>
            <w:r>
              <w:t>FSTS (direct-export share)</w:t>
            </w:r>
          </w:p>
        </w:tc>
        <w:tc>
          <w:tcPr>
            <w:tcW w:type="dxa" w:w="1872"/>
          </w:tcPr>
          <w:p>
            <w:r>
              <w:t>0.168 (0.337)</w:t>
            </w:r>
          </w:p>
        </w:tc>
        <w:tc>
          <w:tcPr>
            <w:tcW w:type="dxa" w:w="1872"/>
          </w:tcPr>
          <w:p>
            <w:r>
              <w:t>0.120 (0.284)</w:t>
            </w:r>
          </w:p>
        </w:tc>
        <w:tc>
          <w:tcPr>
            <w:tcW w:type="dxa" w:w="1872"/>
          </w:tcPr>
          <w:p>
            <w:r>
              <w:t>0.131 (0.311)</w:t>
            </w:r>
          </w:p>
        </w:tc>
        <w:tc>
          <w:tcPr>
            <w:tcW w:type="dxa" w:w="1872"/>
          </w:tcPr>
          <w:p>
            <w:r>
              <w:t>0.140 (0.312)</w:t>
            </w:r>
          </w:p>
        </w:tc>
      </w:tr>
      <w:tr>
        <w:tc>
          <w:tcPr>
            <w:tcW w:type="dxa" w:w="1872"/>
          </w:tcPr>
          <w:p>
            <w:r>
              <w:t>Exporter (FSTS &gt; 0) share</w:t>
            </w:r>
          </w:p>
        </w:tc>
        <w:tc>
          <w:tcPr>
            <w:tcW w:type="dxa" w:w="1872"/>
          </w:tcPr>
          <w:p>
            <w:r>
              <w:t>0.284</w:t>
            </w:r>
          </w:p>
        </w:tc>
        <w:tc>
          <w:tcPr>
            <w:tcW w:type="dxa" w:w="1872"/>
          </w:tcPr>
          <w:p>
            <w:r>
              <w:t>0.208</w:t>
            </w:r>
          </w:p>
        </w:tc>
        <w:tc>
          <w:tcPr>
            <w:tcW w:type="dxa" w:w="1872"/>
          </w:tcPr>
          <w:p>
            <w:r>
              <w:t>0.188</w:t>
            </w:r>
          </w:p>
        </w:tc>
        <w:tc>
          <w:tcPr>
            <w:tcW w:type="dxa" w:w="1872"/>
          </w:tcPr>
          <w:p>
            <w:r>
              <w:t>0.226</w:t>
            </w:r>
          </w:p>
        </w:tc>
      </w:tr>
      <w:tr>
        <w:tc>
          <w:tcPr>
            <w:tcW w:type="dxa" w:w="1872"/>
          </w:tcPr>
          <w:p>
            <w:r>
              <w:t>TCI_thin (mean of b8, e6 recoded)</w:t>
            </w:r>
          </w:p>
        </w:tc>
        <w:tc>
          <w:tcPr>
            <w:tcW w:type="dxa" w:w="1872"/>
          </w:tcPr>
          <w:p>
            <w:r>
              <w:t>0.169 (0.305)</w:t>
            </w:r>
          </w:p>
        </w:tc>
        <w:tc>
          <w:tcPr>
            <w:tcW w:type="dxa" w:w="1872"/>
          </w:tcPr>
          <w:p>
            <w:r>
              <w:t>0.141 (0.295)</w:t>
            </w:r>
          </w:p>
        </w:tc>
        <w:tc>
          <w:tcPr>
            <w:tcW w:type="dxa" w:w="1872"/>
          </w:tcPr>
          <w:p>
            <w:r>
              <w:t>0.146 (0.276)</w:t>
            </w:r>
          </w:p>
        </w:tc>
        <w:tc>
          <w:tcPr>
            <w:tcW w:type="dxa" w:w="1872"/>
          </w:tcPr>
          <w:p>
            <w:r>
              <w:t>0.152 (0.292)</w:t>
            </w:r>
          </w:p>
        </w:tc>
      </w:tr>
      <w:tr>
        <w:tc>
          <w:tcPr>
            <w:tcW w:type="dxa" w:w="1872"/>
          </w:tcPr>
          <w:p>
            <w:r>
              <w:t>DAI (c22b — own website, recoded)</w:t>
            </w:r>
          </w:p>
        </w:tc>
        <w:tc>
          <w:tcPr>
            <w:tcW w:type="dxa" w:w="1872"/>
          </w:tcPr>
          <w:p>
            <w:r>
              <w:t>0.425 (0.495)</w:t>
            </w:r>
          </w:p>
        </w:tc>
        <w:tc>
          <w:tcPr>
            <w:tcW w:type="dxa" w:w="1872"/>
          </w:tcPr>
          <w:p>
            <w:r>
              <w:t>0.483 (0.500)</w:t>
            </w:r>
          </w:p>
        </w:tc>
        <w:tc>
          <w:tcPr>
            <w:tcW w:type="dxa" w:w="1872"/>
          </w:tcPr>
          <w:p>
            <w:r>
              <w:t>0.498 (0.500)</w:t>
            </w:r>
          </w:p>
        </w:tc>
        <w:tc>
          <w:tcPr>
            <w:tcW w:type="dxa" w:w="1872"/>
          </w:tcPr>
          <w:p>
            <w:r>
              <w:t>0.469 (0.499)</w:t>
            </w:r>
          </w:p>
        </w:tc>
      </w:tr>
      <w:tr>
        <w:tc>
          <w:tcPr>
            <w:tcW w:type="dxa" w:w="1872"/>
          </w:tcPr>
          <w:p>
            <w:r>
              <w:t>lnEmp (log permanent employees)</w:t>
            </w:r>
          </w:p>
        </w:tc>
        <w:tc>
          <w:tcPr>
            <w:tcW w:type="dxa" w:w="1872"/>
          </w:tcPr>
          <w:p>
            <w:r>
              <w:t>4.07 (1.49)</w:t>
            </w:r>
          </w:p>
        </w:tc>
        <w:tc>
          <w:tcPr>
            <w:tcW w:type="dxa" w:w="1872"/>
          </w:tcPr>
          <w:p>
            <w:r>
              <w:t>3.63 (1.48)</w:t>
            </w:r>
          </w:p>
        </w:tc>
        <w:tc>
          <w:tcPr>
            <w:tcW w:type="dxa" w:w="1872"/>
          </w:tcPr>
          <w:p>
            <w:r>
              <w:t>3.58 (1.54)</w:t>
            </w:r>
          </w:p>
        </w:tc>
        <w:tc>
          <w:tcPr>
            <w:tcW w:type="dxa" w:w="1872"/>
          </w:tcPr>
          <w:p>
            <w:r>
              <w:t>3.76 (1.52)</w:t>
            </w:r>
          </w:p>
        </w:tc>
      </w:tr>
      <w:tr>
        <w:tc>
          <w:tcPr>
            <w:tcW w:type="dxa" w:w="1872"/>
          </w:tcPr>
          <w:p>
            <w:r>
              <w:t>FirmAge (years since b5)</w:t>
            </w:r>
          </w:p>
        </w:tc>
        <w:tc>
          <w:tcPr>
            <w:tcW w:type="dxa" w:w="1872"/>
          </w:tcPr>
          <w:p>
            <w:r>
              <w:t>11.9 (11.3)</w:t>
            </w:r>
          </w:p>
        </w:tc>
        <w:tc>
          <w:tcPr>
            <w:tcW w:type="dxa" w:w="1872"/>
          </w:tcPr>
          <w:p>
            <w:r>
              <w:t>12.8 (9.6)</w:t>
            </w:r>
          </w:p>
        </w:tc>
        <w:tc>
          <w:tcPr>
            <w:tcW w:type="dxa" w:w="1872"/>
          </w:tcPr>
          <w:p>
            <w:r>
              <w:t>14.1 (7.9)</w:t>
            </w:r>
          </w:p>
        </w:tc>
        <w:tc>
          <w:tcPr>
            <w:tcW w:type="dxa" w:w="1872"/>
          </w:tcPr>
          <w:p>
            <w:r>
              <w:t>12.9 (9.7)</w:t>
            </w:r>
          </w:p>
        </w:tc>
      </w:tr>
      <w:tr>
        <w:tc>
          <w:tcPr>
            <w:tcW w:type="dxa" w:w="1872"/>
          </w:tcPr>
          <w:p>
            <w:r>
              <w:t>ForeignOwned (b2b &gt; 0) share</w:t>
            </w:r>
          </w:p>
        </w:tc>
        <w:tc>
          <w:tcPr>
            <w:tcW w:type="dxa" w:w="1872"/>
          </w:tcPr>
          <w:p>
            <w:r>
              <w:t>0.142</w:t>
            </w:r>
          </w:p>
        </w:tc>
        <w:tc>
          <w:tcPr>
            <w:tcW w:type="dxa" w:w="1872"/>
          </w:tcPr>
          <w:p>
            <w:r>
              <w:t>0.090</w:t>
            </w:r>
          </w:p>
        </w:tc>
        <w:tc>
          <w:tcPr>
            <w:tcW w:type="dxa" w:w="1872"/>
          </w:tcPr>
          <w:p>
            <w:r>
              <w:t>0.125</w:t>
            </w:r>
          </w:p>
        </w:tc>
        <w:tc>
          <w:tcPr>
            <w:tcW w:type="dxa" w:w="1872"/>
          </w:tcPr>
          <w:p>
            <w:r>
              <w:t>0.119</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t>ISIC sector FE</w:t>
            </w:r>
          </w:p>
        </w:tc>
        <w:tc>
          <w:tcPr>
            <w:tcW w:type="dxa" w:w="1872"/>
          </w:tcPr>
          <w:p>
            <w:r>
              <w:t>a4b 1-digit</w:t>
            </w:r>
          </w:p>
        </w:tc>
        <w:tc>
          <w:tcPr>
            <w:tcW w:type="dxa" w:w="1872"/>
          </w:tcPr>
          <w:p>
            <w:r>
              <w:t>a4b 1-digit</w:t>
            </w:r>
          </w:p>
        </w:tc>
        <w:tc>
          <w:tcPr>
            <w:tcW w:type="dxa" w:w="1872"/>
          </w:tcPr>
          <w:p>
            <w:r>
              <w:t>a4a 1-digit</w:t>
            </w:r>
          </w:p>
        </w:tc>
        <w:tc>
          <w:tcPr>
            <w:tcW w:type="dxa" w:w="1872"/>
          </w:tcPr>
          <w:p>
            <w:r>
              <w:t>wave + a4b/a4a 1-digit</w:t>
            </w:r>
          </w:p>
        </w:tc>
      </w:tr>
    </w:tbl>
    <w:p>
      <w:pPr>
        <w:pStyle w:val="BodyText"/>
      </w:pPr>
      <w:r>
        <w:t>Notes. Cell entries are mean (standard deviation) for continuous variables and proportion for binary indicators. Listwise deletion is applied on the focal variable set with WBES non-response codes (−9) treated as missing. Source: replication script p4_vietnam/output/tables/table_1_descriptives.csv.</w:t>
      </w:r>
    </w:p>
    <w:p>
      <w:pPr>
        <w:pStyle w:val="Heading2"/>
      </w:pPr>
      <w:r>
        <w:t>4.1 Wave-specific findings</w:t>
      </w:r>
    </w:p>
    <w:p>
      <w:pPr>
        <w:pStyle w:val="FirstParagraph"/>
      </w:pPr>
      <w:r>
        <w:t>The 2009 wave displays a clearly nonlinear internationalisation–performance relationship together with strong direct capability and digital-adoption effects. The inverted-U specification (M2) yields a positive linear term (β = 1.045, p = .015) and a negative quadratic term (β = −1.774, p = .009); the Lind–Mehlum test rejects monotonicity at p = .006. In the dual-direct specification (M7) both TCI_z (β = 0.215, p &lt; .001) and DAI_z (β = 0.175, p &lt; .001) are positive and highly significant. TCI moderation is statistically distinguishable from zero (M3 joint p = .040; FSTS_c × TCI_z = −0.579, p = .087), but DAI moderation is not (M4 joint p = .825; full-model M8 joint p = .700). In substantive terms, both capability dimensions in 2009 operate primarily as direct level-shifters; the marginal coordination cost that bends the I–P curve is associated with technological capability rather than with basic digital presence.</w:t>
      </w:r>
    </w:p>
    <w:p>
      <w:pPr>
        <w:pStyle w:val="BodyText"/>
      </w:pPr>
      <w:r>
        <w:t>The 2015 wave shows the curvature cleanly but the weakest digital channel. M2 produces FSTS_c β = 1.159 (p = .029) and FSTS_c² β = −2.115 (p = .004), with Lind–Mehlum p = .009. TCI_z retains a positive direct association (β = 0.128, p = .010) but at roughly 60 per cent of the 2009 magnitude. DAI_z loses direct salience entirely (β = −0.044, p = .377). TCI moderation is null in this wave (M3 joint p = .713), and DAI moderation is at best marginal (M4 joint p = .125; M8 joint p = .093). Read as a phase characterisation, 2015 looks like a wave in which the I–P curvature is unusually sharp while the digital channel compresses entirely — consistent with the productivity J-curve account in which firms invest in basic digital tools before complementary organisational adjustments produce measurable productivity gains (Brynjolfsson et al., 2021).</w:t>
      </w:r>
    </w:p>
    <w:p>
      <w:pPr>
        <w:pStyle w:val="BodyText"/>
      </w:pPr>
      <w:r>
        <w:t>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and marginal (FSTS_c² × DAI_z = 1.043, p = .099), and the joint test sits at marginal significance (M4 joint p = .102; M8 joint p = .062). The substantive reading is that, by 2023, basic digital adoption becomes more conditional on export intensity: as exporters move beyond moderate FSTS levels, the productivity contribution of basic digital presence attenuates and may amplify rather than relieve coordination burdens, consistent with the view that website-level adoption alone is insufficient when deeper transaction-enabling and process-integrating digital capability is still maturing.</w:t>
      </w:r>
    </w:p>
    <w:p>
      <w:pPr>
        <w:pStyle w:val="BodyText"/>
      </w:pPr>
      <w:r>
        <w:t>Taken together, the wave-specific results trace two distinct lifecycle trajectories. Technological capability is positive across all three waves with a modestly attenuating magnitude (TCI_z = 0.215 → 0.128 → 0.123) but with moderation that survives in the 2009, 2023 and pooled panels. Digital adoption follows a non-monotonic trajectory — strong in 2009 (β = 0.175 ***), null in 2015 (β = −0.044 n.s.), and re-emerging in 2023 (β = 0.095 *) — and its moderation channel materialises only in 2023. The Paternoster cross-wave z-tests reported in §4.5 confirm that the 2009-to-2015 fall in DAI (z = 3.353, p &lt; .001) and the 2015-to-2023 recovery (z = −2.051, p = .040) are both statistically distinguishable shifts, supporting the lifecycle reading rather than treating the wave-specific pattern as sampling noise.</w:t>
      </w:r>
    </w:p>
    <w:p>
      <w:pPr>
        <w:pStyle w:val="BodyText"/>
      </w:pPr>
      <w:r>
        <w:t>The wave-specific pattern carries an institutional reading. The 2009 wave captures the early aftermath of WTO accession, when the marginal exporter was still in the entry-cost zone of the I–P curve, when capability stocks were the scarce resource, and when foundational digital tools — even at the website-only layer — generated direct gains because the alternative was paper-based transaction processing. The 2015 wave captures a transitional phase in which the I–P curvature is unusually sharp (FSTS_c² = −2.082, p = .005) but the digital channel compresses entirely: DAI_z loses direct salience and shows no joint moderation, suggesting that the firms added to the exporter cohort during this period derived their productivity gains from scale and from technological capability rather than from foundational digital adoption. The 2023 wave captures the re-emergence of the digital channel as a moderator rather than as a uniform direct premium: the post-NDTP digital infrastructure makes foundational digital adoption interact with export intensity, and the negative FSTS_c × DAI_z interaction shows that this conditional channel binds primarily at higher export intensity rather than uniformly across the export-intensity range.</w:t>
      </w:r>
    </w:p>
    <w:p>
      <w:pPr>
        <w:pStyle w:val="Heading2"/>
      </w:pPr>
      <w:r>
        <w:t>4.2 Pooled findings</w:t>
      </w:r>
    </w:p>
    <w:p>
      <w:pPr>
        <w:pStyle w:val="FirstParagraph"/>
      </w:pPr>
      <w:r>
        <w:t>The pooled estimates confirm that the internationalisation–performance relationship is nonlinear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The curvature persists in the full M8 specification (FSTS_c β = 0.845, p = .006; FSTS_c² β = −1.650, p &lt; .001), supporting H1 and aligning with the meta-analytic evidence on the nonlinear shape of internationalisation returns in emerging-market firms (Marano et al., 2016).</w:t>
      </w:r>
    </w:p>
    <w:p>
      <w:pPr>
        <w:pStyle w:val="BodyText"/>
      </w:pPr>
      <w:r>
        <w:t>The pooled evidence shows that both technological capability and basic digital adoption are positively associated with firm performance on average. In the pooled M7 dual-direct specification, TCI_z is positive and highly significant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 This sensitivity is consistent with the interpretation that DAI_z combines a positive level effect with a negative interaction with FSTS_c at higher export intensities — precisely the pattern documented in §4.1 for the 2023 wave.</w:t>
      </w:r>
    </w:p>
    <w:p>
      <w:pPr>
        <w:pStyle w:val="BodyText"/>
      </w:pPr>
      <w:r>
        <w:t>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sits at marginal significance (M8 joint p = .083). This pooled signal is driven primarily by the 2023 wave: the M4 joint moderation test on DAI is null in 2009 (p = .825) and 2015 (p = .125), and reaches marginal significance only in 2023 (M4 joint p = .102; M8 joint p = .062). Pooled estimates therefore understate the timing of the DAI moderation channel: the channel is concentrated in the most recent wave rather than uniformly distributed across the 2009–2023 window.</w:t>
      </w:r>
    </w:p>
    <w:p>
      <w:pPr>
        <w:pStyle w:val="BodyText"/>
      </w:pPr>
      <w:r>
        <w:t>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 inverted-U flattens for high-capability firms rather than shifting in level. This is consistent with the absorptive-capacity reading in which firms with deeper capability stocks extract productivity gains across a wider range of export intensities than less capable peers (Cohen and Levinthal, 1990; Lall, 1992).</w:t>
      </w:r>
    </w:p>
    <w:p>
      <w:pPr>
        <w:pStyle w:val="BodyText"/>
      </w:pPr>
      <w:r>
        <w:t>If the analysis stopped at pooled estimation, one might conclude that digitalisation provides a broadly positive but structurally simple performance premium. The wave-specific evidence shows that this conclusion would be incomplete. The positive pooled average coexists with substantial temporal heterogeneity, and the conditional role of digital adoption emerges more clearly only in the later wave.</w:t>
      </w:r>
    </w:p>
    <w:p>
      <w:pPr>
        <w:pStyle w:val="Heading2"/>
      </w:pPr>
      <w:r>
        <w:t>4.3 Interpretation of the hypothesis tests</w:t>
      </w:r>
    </w:p>
    <w:p>
      <w:pPr>
        <w:pStyle w:val="FirstParagraph"/>
      </w:pPr>
      <w:r>
        <w:t>H1 is strongly supported. The Lind–Mehlum test rejects the monotonicity null in all three waves (2009 p = .006, 2015 p = .009, 2023 p = .013) and in the pooled sample (p &lt; .001), and the implied turning points are tightly clustered between 39.3 per cent (2015) and 46.2 per cent (2009) of direct-export intensity, with the pooled estimate at 39.7 per cent. H2 is supported by the positive TCI_z direct association in the pooled sample (β = 0.179, p &lt; .001) and in all three wave-specific periods (2009 p &lt; .001; 2015 p = .010; 2023 p = .006), reinforced by statistically distinguishable TCI moderation in three of four panels (M3 joint p = .040, .713, .027 and .003). H3 is supported on average: the pooled M7 estimate of DAI_z is positive and significant (β = 0.078, p = .004), but DAI_z varies sharply across waves — strong in 2009 (β = 0.175, p &lt; .001), null in 2015 (β = −0.044, p = .377) and positive in 2023 (β = 0.095, p = .038). The Paternoster cross-wave z-tests (§4.5, Panel F) confirm that the 2009-to-2015 fall (z = 3.353, p &lt; .001) and the 2015-to-2023 recovery (z = −2.051, p = .040) are both statistically distinguishable shifts.</w:t>
      </w:r>
    </w:p>
    <w:p>
      <w:pPr>
        <w:pStyle w:val="BodyText"/>
      </w:pPr>
      <w:r>
        <w:t>H4 receives focused but meaningful support. The DAI joint moderation test is null in 2009 (M4 p = .825) and only marginal in 2015 (M4 p = .125). It reaches its strongest expression in 2023, where the individual interaction FSTS_c × DAI_z = −0.912 (p = .043) is statistically distinguishable from zero and the joint test is at the edge of conventional significance (M4 p = .102; M8 p = .062). The pooled M8 joint test (p = .083) is also at marginal significance, driven by the 2023 wave rather than by a stable cross-period moderation. The substantive reading is that the conditional digital channel materialises only when the institutional and digital environment is sufficiently mature for basic adoption to interact with cross-border coordination demands.</w:t>
      </w:r>
    </w:p>
    <w:p>
      <w:pPr>
        <w:pStyle w:val="Heading2"/>
      </w:pPr>
      <w:r>
        <w:t>4.4 Main empirical pattern</w:t>
      </w:r>
    </w:p>
    <w:p>
      <w:pPr>
        <w:pStyle w:val="FirstParagraph"/>
      </w:pPr>
      <w:r>
        <w:t>Table 1 summarises the directional interpretation of the focal coefficients from the full specifications by wave and for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Wave / model</w:t>
            </w:r>
          </w:p>
        </w:tc>
        <w:tc>
          <w:tcPr>
            <w:tcW w:type="dxa" w:w="1872"/>
          </w:tcPr>
          <w:p>
            <w:r>
              <w:t>I–P relationship</w:t>
            </w:r>
          </w:p>
        </w:tc>
        <w:tc>
          <w:tcPr>
            <w:tcW w:type="dxa" w:w="1872"/>
          </w:tcPr>
          <w:p>
            <w:r>
              <w:t>TCI_z direct</w:t>
            </w:r>
          </w:p>
        </w:tc>
        <w:tc>
          <w:tcPr>
            <w:tcW w:type="dxa" w:w="1872"/>
          </w:tcPr>
          <w:p>
            <w:r>
              <w:t>DAI_z direct</w:t>
            </w:r>
          </w:p>
        </w:tc>
        <w:tc>
          <w:tcPr>
            <w:tcW w:type="dxa" w:w="1872"/>
          </w:tcPr>
          <w:p>
            <w:r>
              <w:t>DAI_z interaction</w:t>
            </w:r>
          </w:p>
        </w:tc>
      </w:tr>
      <w:tr>
        <w:tc>
          <w:tcPr>
            <w:tcW w:type="dxa" w:w="1872"/>
          </w:tcPr>
          <w:p>
            <w:r>
              <w:t>2009</w:t>
            </w:r>
          </w:p>
        </w:tc>
        <w:tc>
          <w:tcPr>
            <w:tcW w:type="dxa" w:w="1872"/>
          </w:tcPr>
          <w:p>
            <w:r>
              <w:t>Inverted-U: FSTS_c 1.045** / FSTS_c² −1.774**; LM p = .006; TP = 46.2 %</w:t>
            </w:r>
          </w:p>
        </w:tc>
        <w:tc>
          <w:tcPr>
            <w:tcW w:type="dxa" w:w="1872"/>
          </w:tcPr>
          <w:p>
            <w:r>
              <w:t>0.215 *** (M7)</w:t>
            </w:r>
          </w:p>
        </w:tc>
        <w:tc>
          <w:tcPr>
            <w:tcW w:type="dxa" w:w="1872"/>
          </w:tcPr>
          <w:p>
            <w:r>
              <w:t>0.175 *** (M7)</w:t>
            </w:r>
          </w:p>
        </w:tc>
        <w:tc>
          <w:tcPr>
            <w:tcW w:type="dxa" w:w="1872"/>
          </w:tcPr>
          <w:p>
            <w:r>
              <w:t>M4 joint p = .825 n.s.; M8 joint p = .700 n.s.</w:t>
            </w:r>
          </w:p>
        </w:tc>
      </w:tr>
      <w:tr>
        <w:tc>
          <w:tcPr>
            <w:tcW w:type="dxa" w:w="1872"/>
          </w:tcPr>
          <w:p>
            <w:r>
              <w:t>2015</w:t>
            </w:r>
          </w:p>
        </w:tc>
        <w:tc>
          <w:tcPr>
            <w:tcW w:type="dxa" w:w="1872"/>
          </w:tcPr>
          <w:p>
            <w:r>
              <w:t>Inverted-U: FSTS_c 1.159* / FSTS_c² −2.115**; LM p = .009; TP = 39.3 %</w:t>
            </w:r>
          </w:p>
        </w:tc>
        <w:tc>
          <w:tcPr>
            <w:tcW w:type="dxa" w:w="1872"/>
          </w:tcPr>
          <w:p>
            <w:r>
              <w:t>0.128 * (M7)</w:t>
            </w:r>
          </w:p>
        </w:tc>
        <w:tc>
          <w:tcPr>
            <w:tcW w:type="dxa" w:w="1872"/>
          </w:tcPr>
          <w:p>
            <w:r>
              <w:t>−0.044 (p = .377) n.s.</w:t>
            </w:r>
          </w:p>
        </w:tc>
        <w:tc>
          <w:tcPr>
            <w:tcW w:type="dxa" w:w="1872"/>
          </w:tcPr>
          <w:p>
            <w:r>
              <w:t>M4 joint p = .125 n.s.; M8 joint p = .093 †</w:t>
            </w:r>
          </w:p>
        </w:tc>
      </w:tr>
      <w:tr>
        <w:tc>
          <w:tcPr>
            <w:tcW w:type="dxa" w:w="1872"/>
          </w:tcPr>
          <w:p>
            <w:r>
              <w:t>2023</w:t>
            </w:r>
          </w:p>
        </w:tc>
        <w:tc>
          <w:tcPr>
            <w:tcW w:type="dxa" w:w="1872"/>
          </w:tcPr>
          <w:p>
            <w:r>
              <w:t>Inverted-U: FSTS_c 0.962* / FSTS_c² −1.686**; LM p = .013; TP = 41.6 %</w:t>
            </w:r>
          </w:p>
        </w:tc>
        <w:tc>
          <w:tcPr>
            <w:tcW w:type="dxa" w:w="1872"/>
          </w:tcPr>
          <w:p>
            <w:r>
              <w:t>0.123 ** (M7)</w:t>
            </w:r>
          </w:p>
        </w:tc>
        <w:tc>
          <w:tcPr>
            <w:tcW w:type="dxa" w:w="1872"/>
          </w:tcPr>
          <w:p>
            <w:r>
              <w:t>0.095 * (M7)</w:t>
            </w:r>
          </w:p>
        </w:tc>
        <w:tc>
          <w:tcPr>
            <w:tcW w:type="dxa" w:w="1872"/>
          </w:tcPr>
          <w:p>
            <w:r>
              <w:t>M4 joint p = .102 †; M8 joint p = .062 †; FSTS_c × DAI_z = −0.912 *</w:t>
            </w:r>
          </w:p>
        </w:tc>
      </w:tr>
      <w:tr>
        <w:tc>
          <w:tcPr>
            <w:tcW w:type="dxa" w:w="1872"/>
          </w:tcPr>
          <w:p>
            <w:r>
              <w:t>Pooled</w:t>
            </w:r>
          </w:p>
        </w:tc>
        <w:tc>
          <w:tcPr>
            <w:tcW w:type="dxa" w:w="1872"/>
          </w:tcPr>
          <w:p>
            <w:r>
              <w:t>Inverted-U: FSTS_c 0.984*** / FSTS_c² −1.909***; LM p &lt; .001; TP = 39.7 %</w:t>
            </w:r>
          </w:p>
        </w:tc>
        <w:tc>
          <w:tcPr>
            <w:tcW w:type="dxa" w:w="1872"/>
          </w:tcPr>
          <w:p>
            <w:r>
              <w:t>0.179 *** (M7)</w:t>
            </w:r>
          </w:p>
        </w:tc>
        <w:tc>
          <w:tcPr>
            <w:tcW w:type="dxa" w:w="1872"/>
          </w:tcPr>
          <w:p>
            <w:r>
              <w:t>0.078 ** (M7); 0.032 n.s. (M8)</w:t>
            </w:r>
          </w:p>
        </w:tc>
        <w:tc>
          <w:tcPr>
            <w:tcW w:type="dxa" w:w="1872"/>
          </w:tcPr>
          <w:p>
            <w:r>
              <w:t>M4 joint p = .213 n.s.; M8 joint p = .083 †</w:t>
            </w:r>
          </w:p>
        </w:tc>
      </w:tr>
    </w:tbl>
    <w:p>
      <w:pPr>
        <w:pStyle w:val="BodyText"/>
      </w:pPr>
      <w:r>
        <w:t>Notes. Cell entries report β coefficients with HC1-robust p-values from the full specifications. n.s. = not statistically significant at conventional thresholds. Interaction terms entered as FSTS_c × DAI_z and FSTS_c² × DAI_z; the table reports the focal linear interaction.</w:t>
      </w:r>
    </w:p>
    <w:p>
      <w:pPr>
        <w:pStyle w:val="Heading2"/>
      </w:pPr>
      <w:r>
        <w:t>4.5 Robustness</w:t>
      </w:r>
    </w:p>
    <w:p>
      <w:pPr>
        <w:pStyle w:val="FirstParagraph"/>
      </w:pPr>
      <w:r>
        <w:t>Four robustness panels test whether the central inferences depend on measurement choices, sample composition, or the cross-wave alignment of the DAI construct. The panels are estimated on the same OLS HC1 design as the main models and are written to p4_vietnam/output/tables/table_3_robustness.csv.</w:t>
      </w:r>
    </w:p>
    <w:p>
      <w:pPr>
        <w:pStyle w:val="BodyText"/>
      </w:pPr>
      <w:r>
        <w:t>Panel A — Enriched TCI_full composite (2015 and 2023, where h1 product-innovation and h8 R&amp;D indicators are available). Adding h1 and h8 to the primary TCI items produces an attenuated direct effect: the TCI_full_z direct coefficient is 0.056 (p = .253) in 2015 and 0.096 (p = .024) in 2023 — both smaller than the corresponding TCI_thin estimates of 0.128 and 0.123. The moderation joint test is not statistically distinguishable from zero in either wave (2015 joint F p = .492; 2023 joint F p = .152). The attenuation is consistent with the interpretation that the TCI_thin items (b8 quality certification and e6 foreign-licensed technology) carry a sharper foreign-capability content than the broader product-innovation and R&amp;D items add. The TCI_thin specification is therefore retained as the primary measurement throughout the paper.</w:t>
      </w:r>
    </w:p>
    <w:p>
      <w:pPr>
        <w:pStyle w:val="BodyText"/>
      </w:pPr>
      <w:r>
        <w:t>Panel B — Enriched DAI_rich composite (2023 only). The richer specification extends the primary website-based DAI with k33 (customer e-payment intensity) and k38 (supplier e-payment intensity), in both continuous and binary forms. The 2023 DAI_rich_cont moderation joint test is marginal (joint F p = .099, with FSTS_c × DAI_rich_cont_z = −0.933, p = .076), and the binary specification is non-significant (joint F p = .243). The richer measure thus indicates a similar directional pattern to the primary DAI moderation finding but with weaker individual significance — consistent with the view that transaction-enabling digital adoption operates through a different productivity channel than basic digital presence and should not be treated as a one-for-one replacement for the harmonised primary specification.</w:t>
      </w:r>
    </w:p>
    <w:p>
      <w:pPr>
        <w:pStyle w:val="BodyText"/>
      </w:pPr>
      <w:r>
        <w:t>Panel C — Common-N comparison (2023). The primary DAI_z and DAI_rich specifications are estimated on the same N = 1,013 sample, so the differences in Panel B reflect measurement rather than sample. This rules out the alternative explanation that DAI_rich attenuates because of selective missingness on k33 / k38, and supports retaining the harmonised website-based DAI as the primary cross-wave specification.</w:t>
      </w:r>
    </w:p>
    <w:p>
      <w:pPr>
        <w:pStyle w:val="BodyText"/>
      </w:pPr>
      <w:r>
        <w:t>Panel D — Micro-firm exclusion (l1 ≥ 10). Excluding firms with fewer than ten permanent employees reduces the pooled sample to N = 2,473 and leaves the substantive inferences intact. The inverted-U is preserved (FSTS_c β = 0.794, p = .008; FSTS_c² β = −1.647, p &lt; .001), the TCI_z direct association is essentially unchanged (β = 0.188, p &lt; .001), DAI_z direct is positive but not individually significant (β = 0.054, p = .288), and the DAI moderation joint test in the full M8 specification (joint F p = .167) is somewhat weaker than in the main pooled M8 (p = .083). The Lind–Mehlum monotonicity rejection and the broader lifecycle reading do not depend on the inclusion of very small firms.</w:t>
      </w:r>
    </w:p>
    <w:p>
      <w:pPr>
        <w:pStyle w:val="BodyText"/>
      </w:pPr>
      <w:r>
        <w:t>Panel E — Sample-selection probes (Heckman, 1979; Wooldridge, 2010). The selection equation is a probit of export_any on lnEmp, FirmAge, ForeignOwned, sector fixed effects and the WBES sampling region a2, with a2 supplying the exclusion restriction (sampling region affects export selection through differential logistical access but is plausibly uncorrelated with the productivity outcome conditional on the other controls). The inverse Mills ratio added to the outcome equation estimated on exporters (FSTS &gt; 0) is statistically insignificant in all four panels: λ = −0.111 (p = .846) in 2009, λ = −0.833 (p = .259) in 2015, λ = 0.665 (p = .399) in 2023, and λ = −0.462 (p = .347) pooled, indicating no significant selection bias along the IMR-detected channel. A complementary control-function specification using the generalised residual yields a significant residual in 2009 (β = 0.510, p &lt; .001) and pooled (β = 0.304, p &lt; .001), a marginal residual in 2023 (β = 0.259, p = .092) and a null residual in 2015 (β = −0.112, p = .357). The control-function signal indicates a degree of selection structure that the standard IMR does not pick up but does not overturn the H1, H2 or H3 substantive inferences when the focal coefficients are re-estimated with either correction.</w:t>
      </w:r>
    </w:p>
    <w:p>
      <w:pPr>
        <w:pStyle w:val="BodyText"/>
      </w:pPr>
      <w:r>
        <w:t>Panel F — Paternoster (1998) cross-wave z-tests. To assess whether the cross-wave differences in the focal M7 / M8 coefficients are statistically distinguishable from sampling noise, we apply z = (β_A − β_B) / sqrt(SE_A² + SE_B²) for each pair of waves and each focal term. The DAI_z direct association shifts significantly between 2009 and 2015 (z = 3.353, p &lt; .001) and between 2015 and 2023 (z = −2.051, p = .040), confirming that the lifecycle pattern of basic digital adoption is not an artefact of sampling noise. The TCI_z magnitude attenuates more modestly: the 2009-to-2015 difference (z = 1.288, p = .198) and 2009-to-2023 difference (z = 1.423, p = .155) are not statistically distinguishable. All FSTS_c, FSTS_c², FSTS_c × DAI_z and FSTS_c² × DAI_z pairwise differences are non-significant (all |z| &lt; 1.4, all p &gt; .17), so the inverted-U shape and the DAI moderation patterns are best read as a common curvature with wave-specific magnitudes rather than as cross-period structural shifts in the curvature parameters.</w:t>
      </w:r>
    </w:p>
    <w:p>
      <w:pPr>
        <w:pStyle w:val="FirstParagraph"/>
      </w:pPr>
      <w:r>
        <w:t>Panel G — Sector split (manufacturing versus non-manufacturing). To test whether the digital and capability channels operate uniformly across the broad sectoral composition of the Vietnamese exporter cohort, we re-estimate the pooled M2 / M7 / M8 specifications separately on manufacturing firms (sector1 ∈ {1, 2, 3} — ISIC 15–37, N = 1,854) and non-manufacturing firms (utilities, construction, wholesale and retail, transport, finance and other services; sector1 ∈ {4, 5, 6, 7}; N = 1,104). The inverted-U is preserved in both subsets but is sharper in manufacturing (FSTS_c β = 0.971, p = .001; FSTS_c² β = −1.883, p &lt; .001) than in non-manufacturing (FSTS_c β = 1.615, p = .064, marginal; FSTS_c² β = −2.479, p = .046).</w:t>
      </w:r>
    </w:p>
    <w:p>
      <w:pPr>
        <w:pStyle w:val="BodyText"/>
      </w:pPr>
      <w:r>
        <w:t>More substantively, the capability and digital-adoption channels operate primarily in manufacturing. In the M7 dual-direct specification, manufacturing firms display a strong TCI_z direct association (β = 0.223, p &lt; .001) and a positive DAI_z direct association (β = 0.087, p = .009), while non-manufacturing firms show only a marginal TCI_z effect (β = 0.090, p = .096) and a null DAI_z effect (β = 0.068, p = .133). The DAI moderation channel is concentrated in manufacturing (M8 joint p = .103, marginal; FSTS_c × DAI_z = −0.543, p = .079) and is uniformly null in non-manufacturing (M8 joint p = .280). TCI moderation, by contrast, is statistically distinguishable from zero in both subsets (M3 joint p = .011 in manufacturing and p = .007 in non-manufacturing), indicating that the curvature-flattening effect of capability operates broadly while the digital channel remains specific to the manufacturing exporter base. Substantively, this pattern is consistent with the view that basic digital adoption interacts with cross-border production-coordination demands more strongly in tradable-goods sectors than in service-oriented or domestically oriented sectors of the Vietnamese economy.</w:t>
      </w:r>
    </w:p>
    <w:p>
      <w:pPr>
        <w:pStyle w:val="Heading1"/>
      </w:pPr>
      <w:r>
        <w:t>5. Discussion</w:t>
      </w:r>
    </w:p>
    <w:p>
      <w:pPr>
        <w:pStyle w:val="Heading2"/>
      </w:pPr>
      <w:r>
        <w:t>5.1 Reinterpreting digital capability in Vietnam</w:t>
      </w:r>
    </w:p>
    <w:p>
      <w:pPr>
        <w:pStyle w:val="FirstParagraph"/>
      </w:pPr>
      <w:r>
        <w:t>The central implication of the findings is that digital capability in Vietnam should not be interpreted as a universal and temporally stable premium. Both TCI_z and DAI_z are beneficial on average, but their empirical salience changes across waves. This means that digitalisation is not simply a constant background advantage. It is a context-sensitive and stage-dependent source of performance heterogeneity.</w:t>
      </w:r>
    </w:p>
    <w:p>
      <w:pPr>
        <w:pStyle w:val="BodyText"/>
      </w:pPr>
      <w:r>
        <w:t>This interpretation helps reconcile the coexistence of positive pooled effects and uneven wave-specific results. The pooled model captures the average tendency for stronger capability to be associated with better performance. The wave-specific models show that this tendency is not equally strong in every phase. The value of digital capability therefore depends on where firms stand in the broader lifecycle of internationalisation and transition.</w:t>
      </w:r>
    </w:p>
    <w:p>
      <w:pPr>
        <w:pStyle w:val="Heading2"/>
      </w:pPr>
      <w:r>
        <w:t>5.2 Why the distinction between TCI and DAI matters</w:t>
      </w:r>
    </w:p>
    <w:p>
      <w:pPr>
        <w:pStyle w:val="FirstParagraph"/>
      </w:pPr>
      <w:r>
        <w:t>The results also strengthen the theoretical case for separating technological capability from foundational digital adoption. TCI_z captures deeper internal stocks of learning and operational upgrading. DAI_z captures a more practical digital layer that enables transactions and coordination. These are not interchangeable resources.</w:t>
      </w:r>
    </w:p>
    <w:p>
      <w:pPr>
        <w:pStyle w:val="BodyText"/>
      </w:pPr>
      <w:r>
        <w:t>The difference matters because the two constructs do not behave identically across periods. TCI_z appears to function more like a deeper competence base, while DAI_z appears more context sensitive. This supports a more careful approach to digitalisation in international business research, one that distinguishes between digital enablement and broader technological depth rather than collapsing them into a single label.</w:t>
      </w:r>
    </w:p>
    <w:p>
      <w:pPr>
        <w:pStyle w:val="Heading2"/>
      </w:pPr>
      <w:r>
        <w:t>5.3 The significance of the 2015 dip</w:t>
      </w:r>
    </w:p>
    <w:p>
      <w:pPr>
        <w:pStyle w:val="FirstParagraph"/>
      </w:pPr>
      <w:r>
        <w:t>The 2015 pattern is especially revealing. It shows that even when the nonlinear I–P structure becomes clearer, the direct payoff from capability variables can weaken. This suggests that firms may pass through a transitional stage in which export expansion remains important but the productivity contribution of capability resources becomes more difficult to realise or detect.</w:t>
      </w:r>
    </w:p>
    <w:p>
      <w:pPr>
        <w:pStyle w:val="BodyText"/>
      </w:pPr>
      <w:r>
        <w:t>Rather than treating this wave as an anomaly, it is more useful to interpret it as evidence of lifecycle heterogeneity. The dip demonstrates why pooled averages alone are insufficient. Without the wave-specific analysis, one would miss the possibility that capability payoffs compress or fade temporarily before re-emerging in a later phase.</w:t>
      </w:r>
    </w:p>
    <w:p>
      <w:pPr>
        <w:pStyle w:val="Heading2"/>
      </w:pPr>
      <w:r>
        <w:t>5.4 Managerial implications</w:t>
      </w:r>
    </w:p>
    <w:p>
      <w:pPr>
        <w:pStyle w:val="FirstParagraph"/>
      </w:pPr>
      <w:r>
        <w:t>The managerial implication is not that firms should invest less in digitalisation. Rather, it is that digitalisation should be aligned with organisational readiness and international scale. Foundational digital tools may create value, but the payoff depends on whether those tools are embedded in routines that support export coordination and performance.</w:t>
      </w:r>
    </w:p>
    <w:p>
      <w:pPr>
        <w:pStyle w:val="BodyText"/>
      </w:pPr>
      <w:r>
        <w:t>Managers should also avoid conflating basic digital adoption with deeper technological capability. A firm may adopt digital tools without having the learning and upgrading capacity needed to sustain performance gains over time. Conversely, stronger internal capability may allow the firm to convert relatively basic digital adoption into more meaningful outcomes. This distinction is especially important in transitional economies, where firms move through uneven stages of capability development.</w:t>
      </w:r>
    </w:p>
    <w:p>
      <w:pPr>
        <w:pStyle w:val="Heading2"/>
      </w:pPr>
      <w:r>
        <w:t>5.5 Policy implications</w:t>
      </w:r>
    </w:p>
    <w:p>
      <w:pPr>
        <w:pStyle w:val="FirstParagraph"/>
      </w:pPr>
      <w:r>
        <w:t>We frame the policy reading as tentative considerations rather than directive prescriptions. The associational nature of the evidence, the breadth of the wave-specific heterogeneity, and the single-economy scope all weigh against converting the findings into firm policy targets. With those caveats kept explicit, three considerations follow for Vietnam’s trade and digital-economy policy design.</w:t>
      </w:r>
    </w:p>
    <w:p>
      <w:pPr>
        <w:pStyle w:val="BodyText"/>
      </w:pPr>
      <w:r>
        <w:t>First, export-promotion instruments designed around a uniformly positive internationalisation premium will overshoot in transitional periods such as the 2015 wave, when capability payoffs were compressed even as export intensity remained productivity-relevant. Targeting export support at firms positioned in the entry-cost zone, rather than at firms already operating at high export intensity, is consistent with the curvature documented in the pooled and later-wave samples. Second, digital-economy programmes that treat foundational adoption (websites, basic e-payment) as a sufficient policy lever are likely to be attenuated by the implementation lag and by the conditional nature of the digital channel at higher export intensity. Programmes that bundle Tier 1–2 digital adoption with deeper capability upgrading — quality certification, absorptive-capacity investment, organisational routines for cross-border coordination — will be more consistent with the pattern that emerges in 2023.</w:t>
      </w:r>
    </w:p>
    <w:p>
      <w:pPr>
        <w:pStyle w:val="BodyText"/>
      </w:pPr>
      <w:r>
        <w:t>Third, the lifecycle reading suggests that policy evaluation windows matter. A digital-transformation programme assessed only against a 2015-style transitional baseline would understate its long-run productivity contribution; a programme assessed against a 2009-style or 2023-style baseline would overstate it relative to the in-between phase. Policy evaluation that takes the lifecycle structure seriously will couple short-window outcome measurement with sustained measurement of the capability and infrastructure environment in which firms operate.</w:t>
      </w:r>
    </w:p>
    <w:p>
      <w:pPr>
        <w:pStyle w:val="Heading1"/>
      </w:pPr>
      <w:r>
        <w:t>6. Limitations and future research</w:t>
      </w:r>
    </w:p>
    <w:p>
      <w:pPr>
        <w:pStyle w:val="FirstParagraph"/>
      </w:pPr>
      <w:r>
        <w:t>The findings should be read against five limitations. First and most fundamentally, the WBES microdata are repeated cross-sections rather than a true firm panel. Within-firm change over time cannot be identified, and time-invariant unobserved heterogeneity cannot be netted out at the firm level. The associational language used throughout the paper reflects this constraint and should not be relaxed in any reader’s interpretation of the results.</w:t>
      </w:r>
    </w:p>
    <w:p>
      <w:pPr>
        <w:pStyle w:val="BodyText"/>
      </w:pPr>
      <w:r>
        <w:t>Second, the DAI_z composite captures a foundational layer of digital adoption (digital presence and basic digital transaction support) rather than the full depth of digitally integrated organisational capability. The DAI_rich extension for the 2023 wave shows that the conditional pattern survives when richer items are available, but a panel of digitally integrated firms with deeper measurement would tighten the construct further.</w:t>
      </w:r>
    </w:p>
    <w:p>
      <w:pPr>
        <w:pStyle w:val="BodyText"/>
      </w:pPr>
      <w:r>
        <w:t>Third, the analysis is conducted on a single transitional economy. Vietnam is informative precisely because its institutional and digital environment shifted noticeably across the 2009–2023 observation window, but the lifecycle pattern documented here may not generalise without modification to economies whose digital infrastructure or export composition follows a different trajectory.</w:t>
      </w:r>
    </w:p>
    <w:p>
      <w:pPr>
        <w:pStyle w:val="BodyText"/>
      </w:pPr>
      <w:r>
        <w:t>Fourth, although the Paternoster (1998) z-tests reported in §4.5 confirm that the DAI_z drop between 2009 and 2015 is a statistically distinguishable cross-wave shift (z = 3.353, p &lt; .001) and the 2015-to-2023 recovery is also distinguishable (z = −2.051, p = .040). Most other cross-wave coefficient differences sit at marginal or non-significant magnitudes. The lifecycle narrative therefore relies more on the directional consistency of wave-specific estimates and the joint moderation tests than on uniformly significant pairwise z-tests. Future work could exploit policy timing — for example, Vietnam’s National Digital Transformation Programme launched in 2020 — for sharper identification of the digital channel through a policy-evaluation design rather than a cross-wave comparison.</w:t>
      </w:r>
    </w:p>
    <w:p>
      <w:pPr>
        <w:pStyle w:val="BodyText"/>
      </w:pPr>
      <w:r>
        <w:t>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shows that the digital-adoption channel operates primarily in manufacturing while the technological-capability channel is present in both. Finer industry-level mechanisms — for example, contrasting digitally intensive services with traditional services, or contrasting export-oriented with domestically oriented manufacturing sub-sectors — would benefit from a research design that exploits richer industry classification than the WBES one-digit codes allow.</w:t>
      </w:r>
    </w:p>
    <w:p>
      <w:pPr>
        <w:pStyle w:val="Heading1"/>
      </w:pPr>
      <w:r>
        <w:t>7. Conclusion</w:t>
      </w:r>
    </w:p>
    <w:p>
      <w:pPr>
        <w:pStyle w:val="FirstParagraph"/>
      </w:pPr>
      <w:r>
        <w:t>This study revisits the I–P relationship in Vietnam by distinguishing technological capability from foundational digital adoption and by comparing pooled and wave-specific evidence. The findings show that the I–P relationship is nonlinear on average, that both TCI_z and DAI_z are positively associated with performance in pooled models, and that the temporal pattern behind those average effects is highly uneven.</w:t>
      </w:r>
    </w:p>
    <w:p>
      <w:pPr>
        <w:pStyle w:val="BodyText"/>
      </w:pPr>
      <w:r>
        <w:t>The central theoretical implication is that digital capability in a transitional economy is best understood as a stage-contingent resource. Its value is real, but it is not uniformly distributed across time or across stages of internationalisation. This lifecycle perspective helps explain why average estimates can be informative while still concealing important differences in the timing and form of digital payoff.</w:t>
      </w:r>
    </w:p>
    <w:p>
      <w:pPr>
        <w:pStyle w:val="Heading1"/>
      </w:pPr>
      <w:r>
        <w:t>Conflict of interest</w:t>
      </w:r>
    </w:p>
    <w:p>
      <w:pPr>
        <w:pStyle w:val="FirstParagraph"/>
      </w:pPr>
      <w:r>
        <w:t>The authors declare no conflict of interest.</w:t>
      </w:r>
    </w:p>
    <w:p>
      <w:pPr>
        <w:pStyle w:val="Heading1"/>
      </w:pPr>
      <w:r>
        <w:t>Funding</w:t>
      </w:r>
    </w:p>
    <w:p>
      <w:pPr>
        <w:pStyle w:val="FirstParagraph"/>
      </w:pPr>
      <w:r>
        <w:t>This research received no specific grant from any funding agency in the public, commercial, or not-for-profit sectors.</w:t>
      </w:r>
    </w:p>
    <w:p>
      <w:pPr>
        <w:pStyle w:val="Heading1"/>
      </w:pPr>
      <w:r>
        <w:t>Data availability statement</w:t>
      </w:r>
    </w:p>
    <w:p>
      <w:pPr>
        <w:pStyle w:val="FirstParagraph"/>
      </w:pPr>
      <w:r>
        <w:t>The data that support the findings of this study are from the World Bank Enterprise Surveys and are available from the World Bank Enterprise Surveys portal,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p>
      <w:pPr>
        <w:pStyle w:val="Heading1"/>
      </w:pPr>
      <w:r>
        <w:t>Use of generative AI in the writing process</w:t>
      </w:r>
    </w:p>
    <w:p>
      <w:pPr>
        <w:pStyle w:val="FirstParagraph"/>
      </w:pPr>
      <w:r>
        <w:t>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pPr>
        <w:pStyle w:val="Heading1"/>
      </w:pPr>
      <w:r>
        <w:t>Acknowledgements</w:t>
      </w:r>
    </w:p>
    <w:p>
      <w:pPr>
        <w:pStyle w:val="FirstParagraph"/>
      </w:pPr>
      <w:r>
        <w:t>This study uses data from the World Bank Enterprise Surveys. We thank the Enterprise Analysis Unit of the Development Economics Global Indicators Group of the World Bank for providing access to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 The replication package accompanying this manuscript was developed to support methodological transparency and computational reproducibility.</w:t>
      </w:r>
    </w:p>
    <w:p>
      <w:pPr>
        <w:pStyle w:val="Heading1"/>
      </w:pPr>
      <w:r>
        <w:t>Figures</w:t>
      </w:r>
    </w:p>
    <w:p>
      <w:r>
        <w:drawing>
          <wp:inline>
            <wp:extent cx="5943600" cy="356616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943600" cy="3566160"/>
                    </a:xfrm>
                    <a:prstGeom prst="rect"/>
                  </pic:spPr>
                </pic:pic>
              </a:graphicData>
            </a:graphic>
          </wp:inline>
        </w:drawing>
      </w:r>
    </w:p>
    <w:p>
      <w:pPr>
        <w:pStyle w:val="FirstParagraph"/>
      </w:pPr>
      <w:r>
        <w:t>Figure 1. Conceptual model and prediction map. Boxes: FSTS_c and FSTS_c² (direct-export intensity, mean-centred and squared within wave); TCI_z (Technological Capability Index, z-standardised within wave); DAI_z (foundational Digital Adoption Index, z-standardised within wave); lnLP (log labour productivity); controls (lnEmp, FirmAge, ForeignOwned, sector fixed effects, wave fixed effects in pooled specifications). Arrows label the four hypotheses tested in §4: H1 (curvature), H2 (TCI_z direct level and moderation of curvature), H3 (DAI_z direct association on average), H4 (FSTS_c × DAI_z and FSTS_c² × DAI_z reshape the curvature; sign is an empirical question that varies across waves).</w:t>
      </w:r>
    </w:p>
    <w:p>
      <w:r>
        <w:drawing>
          <wp:inline>
            <wp:extent cx="5943600" cy="4592782"/>
            <wp:docPr id="2" name="Picture 2"/>
            <wp:cNvGraphicFramePr>
              <a:graphicFrameLocks noChangeAspect="1"/>
            </wp:cNvGraphicFramePr>
            <a:graphic>
              <a:graphicData uri="http://schemas.openxmlformats.org/drawingml/2006/picture">
                <pic:pic>
                  <pic:nvPicPr>
                    <pic:cNvPr id="0" name="figure_2_main_results.png"/>
                    <pic:cNvPicPr/>
                  </pic:nvPicPr>
                  <pic:blipFill>
                    <a:blip r:embed="rId10"/>
                    <a:stretch>
                      <a:fillRect/>
                    </a:stretch>
                  </pic:blipFill>
                  <pic:spPr>
                    <a:xfrm>
                      <a:off x="0" y="0"/>
                      <a:ext cx="5943600" cy="4592782"/>
                    </a:xfrm>
                    <a:prstGeom prst="rect"/>
                  </pic:spPr>
                </pic:pic>
              </a:graphicData>
            </a:graphic>
          </wp:inline>
        </w:drawing>
      </w:r>
    </w:p>
    <w:p>
      <w:pPr>
        <w:pStyle w:val="BodyText"/>
      </w:pPr>
      <w:r>
        <w:t>Figure 2. Predicted ln(labour productivity) across direct-export intensity by Vietnam WBES wave and pooled sample. Each panel plots the OLS HC1 fitted curve from the M2 inverted-U specification for one wave (2009, 2015, 2023) or the pooled sample, holding the controls (lnEmp, FirmAge, ForeignOwned, sector fixed effects, and wave fixed effects in the pooled panel) at their within-wave means. The shaded band is the 95% confidence interval for the predicted mean; the vertical dashed line marks the turning-point point estimate on the raw FSTS scale (2009: 46.2 %; 2015: 39.6 %; 2023: 41.6 %; pooled: 39.8 %).</w:t>
      </w:r>
    </w:p>
    <w:p>
      <w:pPr>
        <w:pStyle w:val="Heading1"/>
      </w:pPr>
      <w:r>
        <w:t>Tables</w:t>
      </w:r>
    </w:p>
    <w:p>
      <w:pPr>
        <w:pStyle w:val="FirstParagraph"/>
      </w:pPr>
      <w:r>
        <w:t>Table 2 (baseline) — tables/table_2_baseline.csv. Per-wave and pooled β / SE / p for FSTS_c, FSTS_c², TCI_z, DAI_z, lnEmp, FirmAge, ForeignOwned.</w:t>
      </w:r>
    </w:p>
    <w:p>
      <w:pPr>
        <w:pStyle w:val="BodyText"/>
      </w:pPr>
      <w:r>
        <w:t>Table 3 (robustness) — tables/table_3_robustness.csv. Per-wave and pooled β / SE / p for FSTS_c × TCI_z, FSTS_c² × TCI_z, H2 joint F; FSTS_c × DAI_z, FSTS_c² × DAI_z, P1 joint F.</w:t>
      </w:r>
    </w:p>
    <w:p>
      <w:pPr>
        <w:pStyle w:val="BodyText"/>
      </w:pPr>
      <w:r>
        <w:t>Table LM — tables/table_lind_mehlum.csv. Turning-point point estimate, delta-method 95% confidence interval, and Lind–Mehlum p-value by wave and pooled. Replication package and instructions: see p4_vietnam/README.md.</w:t>
      </w:r>
    </w:p>
    <w:p>
      <w:pPr>
        <w:pStyle w:val="Heading1"/>
      </w:pPr>
      <w:r>
        <w:t>References</w:t>
      </w:r>
    </w:p>
    <w:p>
      <w:pPr>
        <w:pStyle w:val="BodyText"/>
      </w:pPr>
      <w:r>
        <w:t>Antonakis, J., Bendahan, S., Jacquart, P. and Lalive, R. (2010), "On making causal claims: A review and recommendations", The Leadership Quarterly, Vol. 21 No. 6, pp. 1086-1120.</w:t>
      </w:r>
    </w:p>
    <w:p>
      <w:pPr>
        <w:pStyle w:val="BodyText"/>
      </w:pPr>
      <w:r>
        <w:t>Bharadwaj, A., El Sawy, O.A., Pavlou, P.A. and Venkatraman, N. (2013), "Digital business strategy: Toward a next generation of insights", MIS Quarterly, Vol. 37 No. 2, pp. 471-482.</w:t>
      </w:r>
    </w:p>
    <w:p>
      <w:pPr>
        <w:pStyle w:val="BodyText"/>
      </w:pPr>
      <w:r>
        <w:t>Brynjolfsson, E., Rock, D. and Syverson, C. (2021), "The productivity J-curve: How intangibles complement general purpose technologies", American Economic Journal: Macroeconomics, Vol. 13 No. 1, pp. 333-372.</w:t>
      </w:r>
    </w:p>
    <w:p>
      <w:pPr>
        <w:pStyle w:val="BodyText"/>
      </w:pPr>
      <w:r>
        <w:t>Cohen, W.M. and Levinthal, D.A. (1990), "Absorptive capacity: A new perspective on learning and innovation", Administrative Science Quarterly, Vol. 35 No. 1, pp. 128-152.</w:t>
      </w:r>
    </w:p>
    <w:p>
      <w:pPr>
        <w:pStyle w:val="BodyText"/>
      </w:pPr>
      <w:r>
        <w:t>Cuervo-Cazurra, A. and Genc, M. (2008), "Transforming disadvantages into advantages: Developing-country MNEs in the least developed countries", Journal of International Business Studies, Vol. 39 No. 6, pp. 957-979.</w:t>
      </w:r>
    </w:p>
    <w:p>
      <w:pPr>
        <w:pStyle w:val="BodyText"/>
      </w:pPr>
      <w:r>
        <w:t>Heckman, J.J. (1979), "Sample selection bias as a specification error", Econometrica, Vol. 47 No. 1, pp. 153-161.</w:t>
      </w:r>
    </w:p>
    <w:p>
      <w:pPr>
        <w:pStyle w:val="BodyText"/>
      </w:pPr>
      <w:r>
        <w:t>Helfat, C.E. and Peteraf, M.A. (2003), "The dynamic resource-based view: Capability lifecycles", Strategic Management Journal, Vol. 24 No. 10, pp. 997-1010.</w:t>
      </w:r>
    </w:p>
    <w:p>
      <w:pPr>
        <w:pStyle w:val="BodyText"/>
      </w:pPr>
      <w:r>
        <w:t>Hennart, J.-F. (2007), "The theoretical rationale for a multinationality–performance relationship", Management International Review, Vol. 47 No. 3, pp. 423-452.</w:t>
      </w:r>
    </w:p>
    <w:p>
      <w:pPr>
        <w:pStyle w:val="BodyText"/>
      </w:pPr>
      <w:r>
        <w:t>Lall, S. (1992), "Technological capabilities and industrialization", World Development, Vol. 20 No. 2, pp. 165-186.</w:t>
      </w:r>
    </w:p>
    <w:p>
      <w:pPr>
        <w:pStyle w:val="BodyText"/>
      </w:pPr>
      <w:r>
        <w:t>Lind, J.T. and Mehlum, H. (2010), "With or without U? The appropriate test for a U-shaped relationship", Oxford Bulletin of Economics and Statistics, Vol. 72 No. 1, pp. 109-118.</w:t>
      </w:r>
    </w:p>
    <w:p>
      <w:pPr>
        <w:pStyle w:val="BodyText"/>
      </w:pPr>
      <w:r>
        <w:t>Lu, J.W. and Beamish, P.W. (2004), "International diversification and firm performance: The S-curve hypothesis", Academy of Management Journal, Vol. 47 No. 4, pp. 598-609.</w:t>
      </w:r>
    </w:p>
    <w:p>
      <w:pPr>
        <w:pStyle w:val="BodyText"/>
      </w:pPr>
      <w:r>
        <w:t>Marano, V., Arregle, J.-L., Hitt, M.A., Spadafora, E. and van Essen, M. (2016), "Home country institutions and the internationalization–performance relationship: A meta-analytic review", Journal of Management, Vol. 42 No. 5, pp. 1075-1110.</w:t>
      </w:r>
    </w:p>
    <w:p>
      <w:pPr>
        <w:pStyle w:val="BodyText"/>
      </w:pPr>
      <w:r>
        <w:t>Paternoster, R., Brame, R., Mazerolle, P. and Piquero, A. (1998), "Using the correct statistical test for the equality of regression coefficients", Criminology, Vol. 36 No. 4, pp. 859-866.</w:t>
      </w:r>
    </w:p>
    <w:p>
      <w:pPr>
        <w:pStyle w:val="BodyText"/>
      </w:pPr>
      <w:r>
        <w:t>Teece, D.J. (2007), "Explicating dynamic capabilities: The nature and microfoundations of (sustainable) enterprise performance", Strategic Management Journal, Vol. 28 No. 13, pp. 1319-1350.</w:t>
      </w:r>
    </w:p>
    <w:p>
      <w:pPr>
        <w:pStyle w:val="BodyText"/>
      </w:pPr>
      <w:r>
        <w:t>Verhoef, P.C., Broekhuizen, T., Bart, Y., Bhattacharya, A., Dong, J.Q., Fabian, N. and Haenlein, M. (2021), "Digital transformation: A multidisciplinary reflection and research agenda", Journal of Business Research, Vol. 122, pp. 889-901.</w:t>
      </w:r>
    </w:p>
    <w:p>
      <w:pPr>
        <w:pStyle w:val="BodyText"/>
      </w:pPr>
      <w:r>
        <w:t>Vernon, R. (1979), "The product cycle hypothesis in a new international environment", Oxford Bulletin of Economics and Statistics, Vol. 41 No. 4, pp. 255-267.</w:t>
      </w:r>
    </w:p>
    <w:p>
      <w:pPr>
        <w:pStyle w:val="BodyText"/>
      </w:pPr>
      <w:r>
        <w:t>Wagner, J. (2007), "Exports and productivity: A survey of the evidence from firm-level data", The World Economy, Vol. 30 No. 1, pp. 60-82.</w:t>
      </w:r>
    </w:p>
    <w:p>
      <w:pPr>
        <w:pStyle w:val="BodyText"/>
      </w:pPr>
      <w:r>
        <w:t>Wooldridge, J.M. (2010), Econometric Analysis of Cross Section and Panel Data, 2nd ed., MIT Press, Cambridge, MA.</w:t>
      </w:r>
    </w:p>
    <w:p>
      <w:pPr>
        <w:pStyle w:val="BodyText"/>
      </w:pPr>
      <w:r>
        <w:t>World Bank (2010), Vietnam Enterprise Survey 2009: Data file, World Bank Enterprise Surveys, available at: https://www.enterprisesurveys.org</w:t>
      </w:r>
    </w:p>
    <w:p>
      <w:pPr>
        <w:pStyle w:val="BodyText"/>
      </w:pPr>
      <w:r>
        <w:t>World Bank (2016), Vietnam Enterprise Survey 2015: Data file, World Bank Enterprise Surveys, available at: https://www.enterprisesurveys.org</w:t>
      </w:r>
    </w:p>
    <w:p>
      <w:pPr>
        <w:pStyle w:val="BodyText"/>
      </w:pPr>
      <w:r>
        <w:t>World Bank (2024), Vietnam Enterprise Survey 2023: Data file, World Bank Enterprise Surveys, available at: https://www.enterprisesurveys.org</w:t>
      </w:r>
    </w:p>
    <w:p>
      <w:pPr>
        <w:pStyle w:val="BodyText"/>
      </w:pPr>
      <w:r>
        <w:t>Wright, M., Filatotchev, I., Hoskisson, R.E. and Peng, M.W. (2005), "Strategy research in emerging economies: Challenging the conventional wisdom", Journal of Management Studies, Vol. 42 No. 1, pp. 1-33.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3" Type="http://schemas.openxmlformats.org/officeDocument/2006/relationships/image" Target="media/rId53.png"/><Relationship Id="rId30" Type="http://schemas.openxmlformats.org/officeDocument/2006/relationships/hyperlink" Target="https://www.enterprisesurveys.org/en/data" TargetMode="External"/><Relationship Id="rId9" Type="http://schemas.openxmlformats.org/officeDocument/2006/relationships/image" Target="media/image1.png"/><Relationship Id="rId10" Type="http://schemas.openxmlformats.org/officeDocument/2006/relationships/image" Target="media/image2.png"/></Relationships>
</file>

<file path=word/_rels/footnotes.xml.rels><?xml version='1.0' encoding='UTF-8' standalone='yes'?>
<Relationships xmlns="http://schemas.openxmlformats.org/package/2006/relationships"><Relationship Id="rId30" Type="http://schemas.openxmlformats.org/officeDocument/2006/relationships/hyperlink" Target="https://www.enterprisesurveys.org/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2026-05-01T08:13:10Z</dcterms:created>
  <dcterms:modified xsi:type="dcterms:W3CDTF">2026-05-01T08:13:10Z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