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A Firm-Level Study of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are associated with the internationalization–performance relationship among firms in Singapore, treated as an analytically informative, within-context setting of a digitally advanced economy.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Three findings emerge. First, within the observed export-intensity range, the internationalization–performance relationship is better characterized as predominantly positive with mild quadratic curvature than as a formally identified inverted-U. The fitted quadratic implies a turning point in the upper tail, but that point is imprecisely located and falls in a sparsely populated region of the data. Second, TCI is positively associated with labour productivity, while no statistically distinguishable moderation by TCI is detected under the present design. Third, DAI does not exhibit a large uniform productivity premium across firms; instead, its association with productivity becomes more positive at higher levels of export intensity, with the clearest signal concentrated in the high-export tail. Taken together, the findings provide within-context evidence from Singapore that sharpens the distinction between technological capability and foundational digital adoption and suggests that digital adoption may function more as a contingent scaling resource than as a uniform productivity advantage.</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export intensity; labour productivity;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provide firm-level, within-context evidence from Singapore showing that the classic right-side decline of the internationalization–performance curve is not clearly identified within the export-intensity range occupied by most firms in the sample. In this sense, the study qualifies rather than overturns the conventional nonlinear literature by showing that, in this setting, the fitted quadratic is more defensibly read as predominantly positive with mild curvature than as a formally established inverted-U.</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construct clarification. The analysis distinguishes technological capability from foundational digital adoption, thereby separating firm-internal capability depth rooted in learning, innovation, and technology absorption from more basic digitally enabled interfaces and transaction mechanisms. This distinction matters because the two constructs are associated with firm performance in different ways and should not be treated as interchangeable indicators of a single digital-capability domain.</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second supporting contribution is substantive. The findings indicate that foundational digital adoption is better understood as a conditional scaling resource than as a uniform productivity premium: its association with productivity is weak across much of the export-intensity distribution and becomes more positive only in the high-export tail. This does not establish a universal mechanism applying across all digitally advanced economies, but it does provide within-context evidence that the productivity relevance of foundational digital adoption depends on the intensity of cross-border operations.</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Whether technological capability (TCI) also moderates the internationalization–performance relationship is treated as an open empirical question and assessed in a supplementary specification rather than as a hypothesized moderation channel.</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Digital adoption may improve firm performance through faster information flows, lower transaction frictions, and more efficient digital exchange, but such benefits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3 (H3). The productivity association of digital adoption (DAI) in Singapore is conditional rather than uniform across firms.</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4 (H4). The association between digital adoption (DAI) and firm performance becomes more positive at higher levels of export intensity in Singapore.</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Internationalization (FSTS, FSTS²)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+2.652***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+2.165**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+2.322***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+1.952**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+2.768***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+2.409**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(0.750)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(0.748)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-1.705†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-1.389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-2.959**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-2.543*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(0.928)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(1.012)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+0.104**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(0.686)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+3.098**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+3.119**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(1.124)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+0.284**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+10.958***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+11.157***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+11.361***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0.211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0.196</w:t>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3.118, SE = 1.117,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[+0.002, +0.158]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.752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 +0.106]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[-0.170, +0.101]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[-0.250, +0.113]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[-0.309, +0.135]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.598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[-0.361, +0.208]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.481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[-0.234, +0.496]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0.262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[+0.074, +1.102]</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+1.742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0.573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[+0.618, +2.865]</w:t>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0.588 at FSTS 70 and 1.742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In this setting, foundational digital adoption is better interpreted as a conditional scaling resource whose productivity relevance becomes more visible at higher export intensity, while remaining weak or statistically indistinct across much of the distribution.</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canonical quadratic specification (M2). The implied turning point occurs near FSTS = 82% on the original scale,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The fitted curve implies a turning point near FSTS 82%,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0.153***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3.119**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4.56 (.011)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0.196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1.552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4.01 (.019)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0.159***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2.930**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4.27 (.014)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0.170***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3.521**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4.61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0.219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3.505**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5.30 (.005)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0.130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2.821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6.32 (.003)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0.165</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improves the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The contribution here is thus not to establish a universal digitalization mechanism, but to clarify that foundational digital adoption and technological capability are analytically distinct and empirically associated with performance in different ways within this setting.</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w:t>
      </w:r>
      <w:r>
        <w:rPr>
          <w:rtl w:val="0"/>
        </w:rPr>
      </w:r>
      <w:r>
        <w:rPr>
          <w:rFonts w:ascii="Times New Roman" w:hAnsi="Times New Roman"/>
          <w:sz w:val="22"/>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Data Availability Statement</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The data analyzed in this study are from the World Bank Enterprise Survey (WBES) Singapore 2023 wave, publicly available at https://www.enterprisesurveys.org. Analysis scripts to replicate the results are available from the corresponding author on reasonable request.</w:t>
      </w:r>
      <w:r>
        <w:rPr>
          <w:rtl w:val="0"/>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Internationalization (FSTS, FSTS²)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canonical quadratic specification (M2). The implied turning point occurs near FSTS = 82% on the original scale,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