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Descriptive Statistics (N = 623)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Ln(Labor productivity)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11.354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7.601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15.895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TCI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Foreign licensed technology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innovation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R&amp;D spending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Quality certification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Website/social media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E-payment received (%)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73.557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26.026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100.000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size (ln)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3.164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1.118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1.386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6.310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age (years)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17.698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12.262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57.000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Foreign-owned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</w:tbl>
    <w:p>
      <w:r>
        <w:rPr>
          <w:b/>
        </w:rPr>
        <w:t xml:space="preserve">Notes: </w:t>
      </w:r>
      <w:r>
        <w:rPr>
          <w:sz w:val="14"/>
        </w:rPr>
        <w:t>FSTS = direct export sales / total sales (d3c). TCI and DAI shown before z-standardization.</w:t>
      </w:r>
    </w:p>
    <w:p>
      <w:r>
        <w:br w:type="page"/>
      </w:r>
    </w:p>
    <w:p>
      <w:pPr>
        <w:pStyle w:val="Heading2"/>
      </w:pPr>
      <w:r>
        <w:t>Table 2. Correlation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Ln(LP)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 FSTS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 TCI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5. Size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0.30**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6. Age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0.09*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7. Foreign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</w:tr>
    </w:tbl>
    <w:p>
      <w:r>
        <w:rPr>
          <w:b/>
        </w:rPr>
        <w:t xml:space="preserve">Notes: </w:t>
      </w:r>
      <w:r>
        <w:rPr>
          <w:sz w:val="14"/>
        </w:rPr>
        <w:t>** p &lt; .01, * p &lt; .05. N = 617–623 (varies by pairwise availability).</w:t>
      </w:r>
    </w:p>
    <w:p>
      <w:r>
        <w:br w:type="page"/>
      </w:r>
    </w:p>
    <w:p>
      <w:pPr>
        <w:pStyle w:val="Heading2"/>
      </w:pPr>
      <w:r>
        <w:t>Table 3. Hierarchical OLS Regression Results</w:t>
      </w:r>
    </w:p>
    <w:p>
      <w:r>
        <w:rPr>
          <w:sz w:val="18"/>
        </w:rPr>
        <w:t>Dependent variable: Ln(Labor Productivity). HC1 robust standard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3.490***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2.797**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3.106***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2.599**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3.531***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3.058**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(0.925)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(0.920)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(0.947)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(0.943)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-2.103†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-1.431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-1.779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-3.166**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-2.715*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(1.087)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(1.115)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(1.120)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(1.100)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(1.101)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0.186***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(0.044)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(0.040)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 ×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-1.181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-1.279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(0.913)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(0.893)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 ×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2.869*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3.023*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(1.284)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(1.309)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size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-0.164***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-0.207***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-0.199***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age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0.018***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Foreign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0.344***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0.332***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0.315***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0.2021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Adj. R²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0.1902</w:t>
            </w:r>
          </w:p>
        </w:tc>
      </w:tr>
    </w:tbl>
    <w:p>
      <w:r>
        <w:rPr>
          <w:sz w:val="14"/>
        </w:rPr>
        <w:t>*** p&lt;.001, ** p&lt;.01, * p&lt;.05, † p&lt;.10. HC1 robust SE in parentheses. TCI and DAI are z-standardized within sample. Model (6) includes DAI direct + FSTS×DAI + FSTS²×DAI interactions. DAI moderation joint F(2,607) = 3.38, p = .035.</w:t>
      </w:r>
    </w:p>
    <w:p>
      <w:r>
        <w:br w:type="page"/>
      </w:r>
    </w:p>
    <w:p>
      <w:pPr>
        <w:pStyle w:val="Heading2"/>
      </w:pPr>
      <w:r>
        <w:t>Table 4. Marginal Effect of DAI on Productivity across FSTS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FSTS (%)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Marginal Effect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95% CI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[-0.004, 0.151]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[-0.082, 0.116]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0.7381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[-0.179, 0.131]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0.7585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[-0.260, 0.159]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0.6378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[-0.320, 0.197]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[-0.371, 0.295]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0.8226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[-0.248, 0.628]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0.3959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0.660*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[0.028, 1.292]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1.818**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[0.455, 3.181]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0.0091</w:t>
            </w:r>
          </w:p>
        </w:tc>
      </w:tr>
    </w:tbl>
    <w:p>
      <w:r>
        <w:rPr>
          <w:b/>
        </w:rPr>
        <w:t xml:space="preserve">Notes: </w:t>
      </w:r>
      <w:r>
        <w:rPr>
          <w:sz w:val="14"/>
        </w:rPr>
        <w:t>Marginal effect = ∂Ln(LP)/∂DAI = β_DAI + β_FSTS×DAI·FSTS + β_FSTS²×DAI·FSTS². From Model (7). Zero-crossings at FSTS ≈ 3% and 56%.</w:t>
      </w:r>
    </w:p>
    <w:p>
      <w:r>
        <w:br w:type="page"/>
      </w:r>
    </w:p>
    <w:p>
      <w:pPr>
        <w:pStyle w:val="Heading2"/>
      </w:pPr>
      <w:r>
        <w:t>Figure 1. Marginal Effect of DAI across Export Intensity</w:t>
      </w:r>
    </w:p>
    <w:p>
      <w:r>
        <w:drawing>
          <wp:inline xmlns:a="http://schemas.openxmlformats.org/drawingml/2006/main" xmlns:pic="http://schemas.openxmlformats.org/drawingml/2006/picture">
            <wp:extent cx="5029200" cy="354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DAI_Marginal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Notes: Solid line = marginal effect of one SD increase in DAI on Ln(LP). Shaded area = 95% CI. Dashed red line = zero effect. DAI is negative for exporters with FSTS 3–56% (coordination trough) and positive for high exporters (scale economies).</w:t>
      </w:r>
    </w:p>
    <w:p>
      <w:r>
        <w:br w:type="page"/>
      </w:r>
    </w:p>
    <w:p>
      <w:pPr>
        <w:pStyle w:val="Heading2"/>
      </w:pPr>
      <w:r>
        <w:t>Figure 2. Internationalization–Performance Curve</w:t>
      </w:r>
    </w:p>
    <w:p>
      <w:r>
        <w:drawing>
          <wp:inline xmlns:a="http://schemas.openxmlformats.org/drawingml/2006/main" xmlns:pic="http://schemas.openxmlformats.org/drawingml/2006/picture">
            <wp:extent cx="5029200" cy="3546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I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Notes: Predicted values from Model (2) at sample means of controls. TP = 83%. Lind-Mehlum p = .301 (borderline). Gray dots = observed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