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Digital Capabilities as a Double-Edged Sword: A Lifecycle Analysis of Internationalisation and Firm Performance in Vietnam</w:t>
      </w:r>
    </w:p>
    <w:p>
      <w:pPr>
        <w:pStyle w:val="Subtitle"/>
      </w:pPr>
      <w:r>
        <w:t>v4.9 — submission-ready: full Heckman + Paternoster panels</w:t>
      </w:r>
    </w:p>
    <w:p>
      <w:pPr>
        <w:pStyle w:val="Date"/>
      </w:pPr>
      <w:r>
        <w:t>2026-05-01</w:t>
      </w:r>
    </w:p>
    <w:p>
      <w:pPr>
        <w:pStyle w:val="Author"/>
      </w:pPr>
      <w:r>
        <w:t>Do Thuy Huong (corresponding author)</w:t>
      </w:r>
    </w:p>
    <w:p>
      <w:pPr>
        <w:pStyle w:val="BodyText"/>
      </w:pPr>
      <w:r>
        <w:t>PhD Candidate, College of Economics, Can Tho University, Can Tho, Vietnam. E-mail: huongp1323001@gstudent.ctu.edu.vn. ORCID: https://orcid.org/0000-0002-7711-2487.</w:t>
      </w:r>
    </w:p>
    <w:p>
      <w:pPr>
        <w:pStyle w:val="Author"/>
      </w:pPr>
      <w:r>
        <w:t>Phan Anh Tu</w:t>
      </w:r>
    </w:p>
    <w:p>
      <w:pPr>
        <w:pStyle w:val="BodyText"/>
      </w:pPr>
      <w:r>
        <w:t>School of Economics (International Business), Can Tho University, Can Tho, Vietnam. E-mail: patu@ctu.edu.vn. ORCID: https://orcid.org/0000-0003-0667-3137.</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This study examines whether digital capability in Vietnam operates as a stable productivity-enhancing resource or as a context-dependent capability whose value changes across stages of internationalisation. Building on the internationalisation–performance literature, the study argues that the benefits of foreign expansion are unlikely to be linear because scale, learning, and diversification gains may eventually be offset by coordination costs and organisational complexity (Marano et al., 2016). It further argues that digitalisation should not be treated as a single undifferentiated construct because deeper technological capability and foundational digital adoption capture different dimensions of firm heterogeneity (Cohen &amp; Levinthal, 1990; Lall, 1992; Verhoef et al., 2021).</w:t>
      </w:r>
    </w:p>
    <w:p>
      <w:pPr>
        <w:pStyle w:val="BodyText"/>
      </w:pPr>
      <w:r>
        <w:t>Using three waves of harmonised firm-level evidence from the World Bank Enterprise Survey for Vietnam (2009, 2015, 2023; analytic N = 989, 958, 1,013, pooled 2,960), we distinguish a Technological Capability Index (TCI_z) from a Digital Adoption Index (DAI_z) and evaluate their roles in both pooled and wave-specific OLS specifications with HC1 robust covariance. The internationalisation–performance relationship is robustly nonlinear: the Lind–Mehlum test rejects monotonicity in all three waves (2009 p = .006, 2015 p = .009, 2023 p = .012) and in the pooled sample (p &lt; .001), with turning points tightly bunched between 40 % and 46 % of direct-export intensity. In the pooled M7 specification, TCI_z is positive and highly significant (β = 0.169, p &lt; .001) and DAI_z is positive and significant (β = 0.063, p = .036). Wave-specific estimates show that TCI_z matters in all three waves (β = 0.204, 0.129, 0.091) while DAI_z is strongest in 2009 (β = 0.127, p = .005), null in 2015 (β = −0.032), and marginal in 2023 (β = 0.099). The DAI moderation channel emerges only in the 2023 wave (M4 joint p = .043; full-model M8 joint p = .013) and sits at the conventional threshold in the pooled sample (M8 joint p = .050).</w:t>
      </w:r>
    </w:p>
    <w:p>
      <w:pPr>
        <w:pStyle w:val="BodyText"/>
      </w:pPr>
      <w:r>
        <w:t>These findings suggest that digital capability in a transitional economy should not be interpreted as a universal premium. Instead, its performance value varies across stages of internationalisation and phases of economic transition. The study contributes to international business research by refining the boundary conditions of the internationalisation–performance relationship, improving construct clarity between technological capability and foundational digital adoption, and showing that pooled average effects can obscure important lifecycle heterogeneity.</w:t>
      </w:r>
    </w:p>
    <w:p>
      <w:pPr>
        <w:pStyle w:val="BodyText"/>
      </w:pPr>
      <w:r>
        <w:t>From an applied perspective, the results imply that policy and managerial investments aimed at digitalisation should be calibrated to the firm’s position along the export-intensity distribution and to the broader phase of economic transition in which the firm operates. Treating digital adoption as a uniform productivity lever risks mismeasuring its real contribution and misallocating capability-upgrading effort across firms and over time.</w:t>
      </w:r>
    </w:p>
    <w:p>
      <w:pPr>
        <w:pStyle w:val="BodyText"/>
      </w:pPr>
      <w:r>
        <w:t>Keywords: internationalisation–performance relationship; digital adoption; technological capability; Vietnam; firm performance; lifecycle heterogeneity.</w:t>
      </w:r>
    </w:p>
    <w:p>
      <w:pPr>
        <w:pStyle w:val="BodyText"/>
      </w:pPr>
      <w:r>
        <w:t>JEL classification: F23 (multinational firms; international business); O33 (technological change: choices and consequences; diffusion processes); D22 (firm behavior: empirical analysis); L25 (firm performance: size, diversification, and scope); O53 (economywide country studies — Asia including Middle East).</w:t>
      </w:r>
    </w:p>
    <w:p>
      <w:pPr>
        <w:pStyle w:val="Heading1"/>
      </w:pPr>
      <w:r>
        <w:t>Highlights</w:t>
      </w:r>
    </w:p>
    <w:p>
      <w:pPr>
        <w:pStyle w:val="FirstParagraph"/>
      </w:pPr>
      <w:r>
        <w:t>• The I–P relationship in Vietnam is robustly nonlinear: the Lind–Mehlum test rejects monotonicity in all three waves (2009 p = .006, 2015 p = .009, 2023 p = .012) and pooled (p &lt; .001).</w:t>
      </w:r>
    </w:p>
    <w:p>
      <w:pPr>
        <w:pStyle w:val="BodyText"/>
      </w:pPr>
      <w:r>
        <w:t>• Turning points cluster between 40 % and 46 % of direct-export intensity (2015: 39.6 %; pooled: 39.8 %; 2023: 41.6 %; 2009: 46.2 %).</w:t>
      </w:r>
    </w:p>
    <w:p>
      <w:pPr>
        <w:pStyle w:val="BodyText"/>
      </w:pPr>
      <w:r>
        <w:t>• TCI_z is positive in all three waves but its magnitude declines over time (2009: β = 0.204 ***; 2015: β = 0.129 *; 2023: β = 0.091, marginal); pooled TCI_z = 0.169, p &lt; .001.</w:t>
      </w:r>
    </w:p>
    <w:p>
      <w:pPr>
        <w:pStyle w:val="BodyText"/>
      </w:pPr>
      <w:r>
        <w:t>• DAI_z direct effect is positive in 2009 (β = 0.127, p = .005), null in 2015 (β = −0.032), marginal in 2023 (β = 0.099); pooled DAI_z = 0.063, p = .036 in M7 but indistinguishable from zero once interactions enter M8.</w:t>
      </w:r>
    </w:p>
    <w:p>
      <w:pPr>
        <w:pStyle w:val="BodyText"/>
      </w:pPr>
      <w:r>
        <w:t>• DAI moderation is concentrated in the 2023 wave (M4 joint p = .043; M8 joint p = .013; FSTS_c × DAI_z = −0.637, marginal); the pooled signal sits at the conventional threshold (M8 joint p = .050) and is driven entirely by 2023.</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&amp;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(Cohen &amp; Levinthal, 1990; Lall, 1992).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&amp;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958 for 2015, and 1,013 for 2023. The pooled full model contains 2,960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&amp;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Outcome lnLP = ln(d2 / l1) where d2 is total annual sales and l1 is permanent full-time employees. Internationalisation FSTS = d3c / 100, mean-centred within wave (FSTS_c) and squared (FSTS_c²). TCI_thin is the within-wave mean of b8 (internationally recognised quality certification) and e6 (foreign-licensed technology) recoded from WBES 1/2 to 1/0 binary indicators, then z-standardised within wave to give TCI_z. DAI_thin is the within-wave mean of c22b (own website) and e6, constructed identically to give DAI_z. The two composites share e6 by virtue of overlapping coverage in the WBES instrument; this overlap is documented in §4.5 and the substantive findings are robust to alternative composites that exclude the shared item.</w:t>
      </w:r>
    </w:p>
    <w:p>
      <w:pPr>
        <w:pStyle w:val="BodyText"/>
      </w:pPr>
      <w:r>
        <w:t>Two enriched composites are used in the §4.5 robustness panel where item availability allows. TCI_full adds h1 (introduced new or significantly improved product) and h8 (R&amp;D expenditure indicator) to the TCI_thin items; this richer composite is constructed for the 2015 and 2023 waves where h1 and h8 are present. DAI_rich adds k33 (sales received via electronic payment) and k38 (supplier payments via electronic payment) to the DAI_thin items, in both continuous (k33/100, k38/100) and binary (k33 &gt; 0, k38 &gt; 0) variants; this richer composite is constructed for the 2023 wave only because the payment items are not present in the earlier releases.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958, and 1,013 observations for 2009, 2015, and 2023 respectively; pooled N is 2,960.</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20.8 % in 2015 to 18.8 % in 2023, reflecting the rebalancing of the Vietnamese exporter cohort away from labour-intensive manufacturing toward services and FDI-linked supply-chain firms during the observation window. The within-wave mean of foundational digital adoption (DAI_thin) is essentially flat across the three waves (0.301 / 0.359 / 0.307), suggesting that what changes across waves is not the level of basic digital adoption but the composition of firms that adopt and the export-coordination context in which those firms operate.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958)</w:t>
            </w:r>
          </w:p>
        </w:tc>
        <w:tc>
          <w:tcPr>
            <w:tcW w:type="dxa" w:w="1872"/>
          </w:tcPr>
          <w:p>
            <w:r>
              <w:t>2023 (N = 1,013)</w:t>
            </w:r>
          </w:p>
        </w:tc>
        <w:tc>
          <w:tcPr>
            <w:tcW w:type="dxa" w:w="1872"/>
          </w:tcPr>
          <w:p>
            <w:r>
              <w:t>Pooled (N = 2,960)</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DAI_thin (mean of c22b, e6 recoded)</w:t>
            </w:r>
          </w:p>
        </w:tc>
        <w:tc>
          <w:tcPr>
            <w:tcW w:type="dxa" w:w="1872"/>
          </w:tcPr>
          <w:p>
            <w:r>
              <w:t>0.301 (0.373)</w:t>
            </w:r>
          </w:p>
        </w:tc>
        <w:tc>
          <w:tcPr>
            <w:tcW w:type="dxa" w:w="1872"/>
          </w:tcPr>
          <w:p>
            <w:r>
              <w:t>0.359 (0.397)</w:t>
            </w:r>
          </w:p>
        </w:tc>
        <w:tc>
          <w:tcPr>
            <w:tcW w:type="dxa" w:w="1872"/>
          </w:tcPr>
          <w:p>
            <w:r>
              <w:t>0.307 (0.316)</w:t>
            </w:r>
          </w:p>
        </w:tc>
        <w:tc>
          <w:tcPr>
            <w:tcW w:type="dxa" w:w="1872"/>
          </w:tcPr>
          <w:p>
            <w:r>
              <w:t>0.322 (0.363)</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replication script p4_vietnam/output/tables/table_1_descriptives.csv.</w:t>
      </w:r>
    </w:p>
    <w:p>
      <w:pPr>
        <w:pStyle w:val="Heading2"/>
      </w:pPr>
      <w:r>
        <w:t>4.1 Wave-specific findings</w:t>
      </w:r>
    </w:p>
    <w:p>
      <w:pPr>
        <w:pStyle w:val="FirstParagraph"/>
      </w:pPr>
      <w:r>
        <w:t>The 2009 wave is characterised by a clearly nonlinear I–P relationship and strong direct capability effects. The inverted-U specification (M2) yields a positive linear term (β = 1.045, p = .015) and a negative quadratic term (β = −1.774, p = .009); the Lind–Mehlum test rejects the monotonicity null at p = .006. In the dual-direct specification (M7) both TCI_z (β = 0.204, p &lt; .001) and DAI_z (β = 0.127, p = .005) are positive and significant. The TCI moderation joint test is significant in 2009 (M3 joint p = .040, with FSTS_c × TCI_z = −0.579, p = .087), but the DAI moderation tests are not (M4 joint p = .728; full-model M8 joint p = .435). In substantive terms, both capability dimensions in 2009 work primarily as direct level-shifters; the marginal coordination cost that bends the I–P curve is associated with technological capability but not with foundational digital adoption.</w:t>
      </w:r>
    </w:p>
    <w:p>
      <w:pPr>
        <w:pStyle w:val="BodyText"/>
      </w:pPr>
      <w:r>
        <w:t>The 2015 wave shows the curvature most cleanly but the weakest digital channel. M2 produces FSTS_c β = 1.151 (p = .030) and FSTS_c² β = −2.082 (p = .005), with a Lind–Mehlum p = .009. TCI_z retains a positive direct association in the dual-direct model (β = 0.129, p = .016) but its magnitude is roughly two-thirds of the 2009 estimate. DAI_z loses direct salience entirely (β = −0.032, p = .574). Neither TCI moderation (M3 joint p = .665) nor DAI moderation (M4 joint p = .298; M8 joint p = .160) is statistically distinguishable from zero in this wave. Read as a phase characterisation, 2015 looks like a wave in which the I–P curvature is unusually sharp while the capability premium compresses, suggesting that the firms added to the exporter cohort during this phase derived their productivity gains more from scale than from capability differentiation.</w:t>
      </w:r>
    </w:p>
    <w:p>
      <w:pPr>
        <w:pStyle w:val="BodyText"/>
      </w:pPr>
      <w:r>
        <w:t>The 2023 wave is where the digital-moderation signal emerges. M2 again indicates a clear inverted-U (FSTS_c β = 0.962, p = .039; FSTS_c² β = −1.686, p = .008; Lind–Mehlum p = .012). In the dual-direct M7 the two capability dimensions converge in magnitude (TCI_z β = 0.091, p = .075, marginal; DAI_z β = 0.099, p = .072, marginal); both lose conventional significance once the DAI interaction terms are added in M8 because the level shift is partially absorbed into the moderation. The DAI joint moderation test, however, becomes significant in 2023 (M4 joint p = .043; full-model M8 joint p = .013), driven by a negative linear interaction (FSTS_c × DAI_z = −0.637, p = .074, marginal) and a positive quadratic interaction (FSTS_c² × DAI_z = 0.509, p = .322). The substantive reading is that, in the 2023 wave, foundational digital adoption becomes more conditional on export intensity: the marginal productivity contribution of DAI_z attenuates more sharply along the FSTS distribution than it does in earlier waves.</w:t>
      </w:r>
    </w:p>
    <w:p>
      <w:pPr>
        <w:pStyle w:val="BodyText"/>
      </w:pPr>
      <w:r>
        <w:t>Taken together, the wave-specific results suggest two distinct lifecycle patterns rather than a single one. The TCI_z direct payoff is positive across all three waves but its magnitude declines over time (β = 0.204 → 0.129 → 0.091); the DAI_z direct payoff follows a different trajectory — strongest in 2009 (β = 0.127, p = .005), null in 2015 (β = −0.032), and marginal in 2023 (β = 0.099). The DAI moderation channel is null in 2009 and 2015 and only emerges in 2023, where the I–P curvature interacts with DAI_z (M8 joint p = .013).</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−2.082, p = .005) but the digital channel compresses entirely: DAI_z loses direct salience and shows no joint moderation, suggesting that the firms added to the exporter cohort during this period derived their productivity gains from scale and from technological capability rather than from foundational digital adoption.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results confirm that the I–P relationship is nonlinear on average. In the pooled nonlinear M2, the linear FSTS_c term is positive and significant (β = 0.981, p = .001) while the quadratic FSTS_c² term is negative and significant (β = −1.898, p &lt; .001); the Lind–Mehlum test rejects monotonicity at p &lt; .001. The curvature persists in the full M8 (FSTS_c β = 0.820, p = .007; FSTS_c² β = −1.612, p &lt; .001), supporting H1 and aligning with the broader nonlinear logic emphasised in prior international business research (Marano et al., 2016).</w:t>
      </w:r>
    </w:p>
    <w:p>
      <w:pPr>
        <w:pStyle w:val="BodyText"/>
      </w:pPr>
      <w:r>
        <w:t>The pooled evidence shows that both capability dimensions are positively associated with firm performance on average, but their magnitudes differ. In the pooled M7 dual-direct specification, TCI_z is positive and highly significant (β = 0.169, p &lt; .001), while DAI_z is positive and significant at the conventional threshold (β = 0.063, p = .036). In the full M8 specification, the TCI_z coefficient strengthens slightly (β = 0.182, p &lt; .001) while the DAI_z direct coefficient becomes statistically indistinguishable from zero (β = 0.028, p = .588) once the interaction terms are entered. The TCI_z direct association is therefore the more robust of the two capability findings in the pooled sample, supporting H2; H3 is supported by the M7 dual-direct estimate but is sensitive to the inclusion of DAI moderation terms.</w:t>
      </w:r>
    </w:p>
    <w:p>
      <w:pPr>
        <w:pStyle w:val="BodyText"/>
      </w:pPr>
      <w:r>
        <w:t>The pooled interaction terms involving DAI_z carry a marginal joint signal. In the full M8, the linear interaction is negative but not individually significant (FSTS_c × DAI_z = −0.375, p = .156) and the quadratic interaction is positive but not significant (FSTS_c² × DAI_z = 0.311, p = .438); the joint Wald test on the two interactions sits exactly at the conventional threshold (joint p = .050). This pooled signal is driven primarily by the 2023 wave: the M4 joint moderation test on DAI is null in 2009 (p = .728) and 2015 (p = .298), and only becomes significant in 2023 (M4 joint p = .043; M8 joint p = .013). Pooled estimates therefore understate the magnitude and timing of the DAI moderation channel: the channel is real but is concentrated in the most recent wave, not uniformly distributed across the 2009–2023 window.</w:t>
      </w:r>
    </w:p>
    <w:p>
      <w:pPr>
        <w:pStyle w:val="BodyText"/>
      </w:pPr>
      <w:r>
        <w:t>TCI moderation, by contrast, is more uniformly distributed: the M3 joint test on FSTS_c × TCI_z and FSTS_c² × TCI_z is significant in three of four panels (2009 p = .040, 2023 p = .027, pooled p = .003) and null only in 2015 (p = .665). Pooled, the linear interaction is negative (FSTS_c × TCI_z = −0.568, p = .004) and the quadratic is positive (FSTS_c² × TCI_z = 0.616, p = .038), indicating that the I–P curve flattens for high-capability firms rather than shifting in level. This is consistent with the absorptive-capacity reading: firms with deeper capability stocks extract productivity gains across a wider range of export intensities than less capable peers.</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.012) and in the pooled sample (p &lt; .001), and the implied turning points are tightly bunched between 39.6 % (2015) and 46.2 % (2009) of direct-export intensity, with the pooled estimate at 39.8 %. H2 is supported by the positive direct TCI_z association in the pooled sample and in two of three wave-specific periods (2009 p &lt; .001; 2015 p = .016; 2023 p = .075 marginal), reinforced by significant TCI moderation in the pooled sample (M3 joint p = .003) and in 2009 (p = .040) and 2023 (p = .027). H3 is supported on average — the pooled M7 estimate is positive and significant (β = 0.063, p = .036) — but is sensitive to specification and to wave: it is strongest in 2009 (β = 0.127, p = .005) and is statistically null in 2015 (β = −0.032, p = .574).</w:t>
      </w:r>
    </w:p>
    <w:p>
      <w:pPr>
        <w:pStyle w:val="BodyText"/>
      </w:pPr>
      <w:r>
        <w:t>H4 receives focused but meaningful support. The DAI joint moderation test is null in 2009 (M4 p = .728) and 2015 (M4 p = .298), and only becomes significant in 2023 (M4 joint p = .043; full-model M8 joint p = .013). The pooled M8 joint test sits exactly at the conventional threshold (p = .050), indicating that the DAI-moderation channel exists on average but is concentrated in the most recent wave rather than uniformly distributed across the 2009–2023 window. This is consistent with the broader claim that digital capability is stage contingent: the conditional channel is real, but it materialises as the institutional and capability environment evolves.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w:t>
            </w:r>
          </w:p>
        </w:tc>
        <w:tc>
          <w:tcPr>
            <w:tcW w:type="dxa" w:w="1872"/>
          </w:tcPr>
          <w:p>
            <w:r>
              <w:t>0.204 *** (M7)</w:t>
            </w:r>
          </w:p>
        </w:tc>
        <w:tc>
          <w:tcPr>
            <w:tcW w:type="dxa" w:w="1872"/>
          </w:tcPr>
          <w:p>
            <w:r>
              <w:t>0.127 ** (M7)</w:t>
            </w:r>
          </w:p>
        </w:tc>
        <w:tc>
          <w:tcPr>
            <w:tcW w:type="dxa" w:w="1872"/>
          </w:tcPr>
          <w:p>
            <w:r>
              <w:t>M4 joint p = .728 n.s.; M8 joint p = .435 n.s.</w:t>
            </w:r>
          </w:p>
        </w:tc>
      </w:tr>
      <w:tr>
        <w:tc>
          <w:tcPr>
            <w:tcW w:type="dxa" w:w="1872"/>
          </w:tcPr>
          <w:p>
            <w:r>
              <w:t>2015</w:t>
            </w:r>
          </w:p>
        </w:tc>
        <w:tc>
          <w:tcPr>
            <w:tcW w:type="dxa" w:w="1872"/>
          </w:tcPr>
          <w:p>
            <w:r>
              <w:t>Inverted-U: FSTS_c 1.151* / FSTS_c² −2.082**; LM p = .009</w:t>
            </w:r>
          </w:p>
        </w:tc>
        <w:tc>
          <w:tcPr>
            <w:tcW w:type="dxa" w:w="1872"/>
          </w:tcPr>
          <w:p>
            <w:r>
              <w:t>0.129 * (M7)</w:t>
            </w:r>
          </w:p>
        </w:tc>
        <w:tc>
          <w:tcPr>
            <w:tcW w:type="dxa" w:w="1872"/>
          </w:tcPr>
          <w:p>
            <w:r>
              <w:t>−0.032 (p = .574) n.s.</w:t>
            </w:r>
          </w:p>
        </w:tc>
        <w:tc>
          <w:tcPr>
            <w:tcW w:type="dxa" w:w="1872"/>
          </w:tcPr>
          <w:p>
            <w:r>
              <w:t>M4 joint p = .298 n.s.; M8 joint p = .160 n.s.</w:t>
            </w:r>
          </w:p>
        </w:tc>
      </w:tr>
      <w:tr>
        <w:tc>
          <w:tcPr>
            <w:tcW w:type="dxa" w:w="1872"/>
          </w:tcPr>
          <w:p>
            <w:r>
              <w:t>2023</w:t>
            </w:r>
          </w:p>
        </w:tc>
        <w:tc>
          <w:tcPr>
            <w:tcW w:type="dxa" w:w="1872"/>
          </w:tcPr>
          <w:p>
            <w:r>
              <w:t>Inverted-U: FSTS_c 0.962* / FSTS_c² −1.686**; LM p = .012</w:t>
            </w:r>
          </w:p>
        </w:tc>
        <w:tc>
          <w:tcPr>
            <w:tcW w:type="dxa" w:w="1872"/>
          </w:tcPr>
          <w:p>
            <w:r>
              <w:t>0.091 † (M7, marginal)</w:t>
            </w:r>
          </w:p>
        </w:tc>
        <w:tc>
          <w:tcPr>
            <w:tcW w:type="dxa" w:w="1872"/>
          </w:tcPr>
          <w:p>
            <w:r>
              <w:t>0.099 † (M7, marginal)</w:t>
            </w:r>
          </w:p>
        </w:tc>
        <w:tc>
          <w:tcPr>
            <w:tcW w:type="dxa" w:w="1872"/>
          </w:tcPr>
          <w:p>
            <w:r>
              <w:t>M4 joint p = .043 *; M8 joint p = .013 *; FSTS_c × DAI_z = −0.637 †</w:t>
            </w:r>
          </w:p>
        </w:tc>
      </w:tr>
      <w:tr>
        <w:tc>
          <w:tcPr>
            <w:tcW w:type="dxa" w:w="1872"/>
          </w:tcPr>
          <w:p>
            <w:r>
              <w:t>Pooled</w:t>
            </w:r>
          </w:p>
        </w:tc>
        <w:tc>
          <w:tcPr>
            <w:tcW w:type="dxa" w:w="1872"/>
          </w:tcPr>
          <w:p>
            <w:r>
              <w:t>Inverted-U: FSTS_c 0.981** / FSTS_c² −1.898***; LM p &lt; .001</w:t>
            </w:r>
          </w:p>
        </w:tc>
        <w:tc>
          <w:tcPr>
            <w:tcW w:type="dxa" w:w="1872"/>
          </w:tcPr>
          <w:p>
            <w:r>
              <w:t>0.169 *** (M7)</w:t>
            </w:r>
          </w:p>
        </w:tc>
        <w:tc>
          <w:tcPr>
            <w:tcW w:type="dxa" w:w="1872"/>
          </w:tcPr>
          <w:p>
            <w:r>
              <w:t>0.063 * (M7); 0.028 n.s. (M8)</w:t>
            </w:r>
          </w:p>
        </w:tc>
        <w:tc>
          <w:tcPr>
            <w:tcW w:type="dxa" w:w="1872"/>
          </w:tcPr>
          <w:p>
            <w:r>
              <w:t>M4 joint p = .417 n.s.; M8 joint p = .050</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 innovation and h8 R&amp;D indicators are available). Adding h1 and h8 to the TCI items produces an attenuated direct effect: the TCI_full_z direct coefficient is 0.048 (p = .353) in 2015 and 0.067 (p = .161) in 2023 — both non-significant against the TCI_thin estimates of 0.129 and 0.091. The moderation joint test is not significant in either wave (2015 joint F p = .473; 2023 joint F p = .152). Read together with the main TCI_thin results, this attenuation is consistent with the interpretation that the TCI_thin items (b8 quality certification and e6 foreign-licensed technology) capture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Adding k33 and k38 (customer-side and supplier-side electronic-payment intensity) to c22b and e6 produces a continuous DAI_rich_cont_z and a binary DAI_rich_bin_z. In the 2023 full specification, the DAI_rich_cont moderation joint test is significant (joint F p = .041, with FSTS_c × DAI_rich_cont_z = −0.769, p = .108); the binary version is marginal (joint F p = .101). The 2023 DAI moderation channel therefore survives when the construct is enriched with Tier 3 payment indicators, indicating that the DAI_z moderation finding in the main results is not an artefact of the website-only thin specification.</w:t>
      </w:r>
    </w:p>
    <w:p>
      <w:pPr>
        <w:pStyle w:val="BodyText"/>
      </w:pPr>
      <w:r>
        <w:t>Panel C — Common-N comparison (2023). To distinguish a measurement effect from a sample-composition effect, we re-estimate the DAI_thin moderation specification on the same N = 1,013 sample used for DAI_rich. The DAI_z joint moderation test remains significant on this restricted sample (joint F p = .013), confirming that the cross-specification difference between Panels B and the main results is driven by measurement choice rather than by sample restriction.</w:t>
      </w:r>
    </w:p>
    <w:p>
      <w:pPr>
        <w:pStyle w:val="BodyText"/>
      </w:pPr>
      <w:r>
        <w:t>Panel D — Micro-firm exclusion (l1 ≥ 10). Excluding firms with fewer than ten permanent employees reduces the pooled sample to N = 2,475 and leaves the substantive inferences intact. The inverted-U is preserved (FSTS_c β = 0.787, p = .008; FSTS_c² β = −1.634, p &lt; .001), the TCI_z direct association is essentially unchanged (β = 0.180, p &lt; .001), and the DAI moderation joint test in the full M8 specification (joint F p = .072, marginal) is comparable to the main pooled M8 estimate (p = .050). The Lind–Mehlum monotonicity rejection and the lifecycle reading therefore do not depend on the inclusion of very small firms.</w:t>
      </w:r>
    </w:p>
    <w:p>
      <w:pPr>
        <w:pStyle w:val="BodyText"/>
      </w:pPr>
      <w:r>
        <w:t>Panel E — Sample-selection probes (Heckman two-step and control function).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is added to the outcome equation estimated on exporters (FSTS &gt; 0). The IMR coefficient is statistically insignificant in all four panels: λ = −0.092 (p = .871) in 2009, λ = −0.707 (p = .352) in 2015, λ = 0.581 (p = .468) in 2023, and λ = −0.481 (p = .327) pooled, indicating no significant selection bias along the IMR-detected channel. A complementary control-function specification using the generalised residual instead of the IMR yields a significant residual in 2009 (β = 0.529, p &lt; .001) and pooled (β = 0.312, p &lt; .001) and a marginal residual in 2023 (β = 0.263, p = .083), but null in 2015 (β = −0.113, p = .352). The control-function signal in some panels indicates a degree of selection structure that the standard IMR does not pick up; it does not, however, overturn the H1, H2, or H3 substantive inferences when the focal coefficients are re-estimated with either correction.</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Most differences are not statistically distinguishable. The clear exception is the DAI_z direct association between 2009 and 2015: z = 2.198, p = .028, confirming that the drop from β = 0.127 to β = −0.032 is a real cross-wave shift rather than noise. Two further differences sit at marginal significance: the TCI_z attenuation between 2009 and 2023 (z = 1.611, p = .107) and the DAI_z re-emergence between 2015 and 2023 (z = −1.652, p = .099). All FSTS_c, FSTS_c², FSTS_c × DAI_z, and FSTS_c² × DAI_z pairwise differences are not statistically distinguishable (all |z| &lt; 1.0, all p &gt; .35), so the curvature and DAI moderation patterns documented for individual waves should be read as wave-specific magnitudes around a common shape rather than as cross-period structural shifts in those terms.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2.198, p = .028),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are intentionally broad to keep the comparison comparable across waves. The robustness panel using two-digit ISIC fixed effects leaves the pooled inferences unchanged, but the wave-specific coefficients can shift more in smaller cells. Industry-level mechanisms — for example, whether the digital channel works differently in services versus manufacturing — are a natural extension that this design does not pursue here.</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Acknowledgements</w:t>
      </w:r>
    </w:p>
    <w:p>
      <w:pPr>
        <w:pStyle w:val="FirstParagraph"/>
      </w:pPr>
      <w:r>
        <w:t>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and the relevant funding agency bear no responsibility for use of the data or for interpretations or inferences based upon such uses. The findings, interpretations, and conclusions expressed in this paper are entirely those of the authors.</w:t>
      </w:r>
    </w:p>
    <w:p>
      <w:pPr>
        <w:pStyle w:val="BodyText"/>
      </w:pPr>
      <w:r>
        <w:t>The authors received no specific grant from any funding agency in the public, commercial, or not-for-profit sectors for the research, authorship, or publication of this article.</w:t>
      </w:r>
    </w:p>
    <w:p>
      <w:pPr>
        <w:pStyle w:val="Heading1"/>
      </w:pPr>
      <w:r>
        <w:t>Author contributions (CRediT taxonomy)</w:t>
      </w:r>
    </w:p>
    <w:p>
      <w:pPr>
        <w:pStyle w:val="FirstParagraph"/>
      </w:pPr>
      <w:r>
        <w:t>Do Thuy Huong: conceptualisation; methodology; formal analysis; data curation; writing — original draft; writing — review and editing; visualisation; project administration. Phan Anh Tu: conceptualisation; methodology; validation; writing — review and editing; supervision. All authors read and approved the final manuscript.</w:t>
      </w:r>
    </w:p>
    <w:p>
      <w:pPr>
        <w:pStyle w:val="Heading1"/>
      </w:pPr>
      <w:r>
        <w:t>Declaration of competing interest</w:t>
      </w:r>
    </w:p>
    <w:p>
      <w:pPr>
        <w:pStyle w:val="FirstParagraph"/>
      </w:pPr>
      <w:r>
        <w:t>The authors declare that they have no known competing financial interests or personal relationships that could have appeared to influence the work reported in this paper.</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Data availability</w:t>
      </w:r>
    </w:p>
    <w:p>
      <w:pPr>
        <w:pStyle w:val="FirstParagraph"/>
      </w:pPr>
      <w:r>
        <w:t>The Vietnam WBES 2009, 2015, and 2023 microdata are publicly available from https://www.enterprisesurveys.org/en/data subject to registration with the Enterprise Analysis Unit and acceptance of the WBES Data Access Protocol. The replication package distributed with this paper (p4_vietnam/) contains the full Stata pipeline that reproduces every coefficient, table, and figure reported above from the public releases.</w:t>
      </w:r>
    </w:p>
    <w:p>
      <w:pPr>
        <w:pStyle w:val="Heading1"/>
      </w:pPr>
      <w:r>
        <w:t>Figures</w:t>
      </w:r>
    </w:p>
    <w:p>
      <w:r>
        <w:drawing>
          <wp:inline>
            <wp:extent cx="5943600" cy="3241964"/>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241964"/>
                    </a:xfrm>
                    <a:prstGeom prst="rect"/>
                  </pic:spPr>
                </pic:pic>
              </a:graphicData>
            </a:graphic>
          </wp:inline>
        </w:drawing>
      </w:r>
    </w:p>
    <w:p>
      <w:pPr>
        <w:pStyle w:val="FirstParagraph"/>
      </w:pPr>
      <w:r>
        <w:t>Figure 1. Conceptual model and prediction map. Boxes: FSTS_c and FSTS_c² (direct-export intensity, mean-centred and squared within wave); TCI_z (Technological Capability Index, z-standardised within wave); DAI_z (foundational Digital Adoption Index, z-standardised within wave); lnLP (log labour productivity); controls (lnEmp, FirmAge, ForeignOwned, sector fixed effects, wave fixed effects in pooled specifications). Arrows label the four hypotheses tested in §4: H1 (curvature), H2 (TCI_z direct level and moderation of curvature), H3 (DAI_z direct association on average), H4 (FSTS_c × DAI_z and FSTS_c² × DAI_z reshape the curvature; sign is an empirical question that varies across waves).</w:t>
      </w:r>
    </w:p>
    <w:p>
      <w:r>
        <w:drawing>
          <wp:inline>
            <wp:extent cx="5943600" cy="4592782"/>
            <wp:docPr id="2" name="Picture 2"/>
            <wp:cNvGraphicFramePr>
              <a:graphicFrameLocks noChangeAspect="1"/>
            </wp:cNvGraphicFramePr>
            <a:graphic>
              <a:graphicData uri="http://schemas.openxmlformats.org/drawingml/2006/picture">
                <pic:pic>
                  <pic:nvPicPr>
                    <pic:cNvPr id="0" name="figure_2_main_results.png"/>
                    <pic:cNvPicPr/>
                  </pic:nvPicPr>
                  <pic:blipFill>
                    <a:blip r:embed="rId10"/>
                    <a:stretch>
                      <a:fillRect/>
                    </a:stretch>
                  </pic:blipFill>
                  <pic:spPr>
                    <a:xfrm>
                      <a:off x="0" y="0"/>
                      <a:ext cx="5943600" cy="4592782"/>
                    </a:xfrm>
                    <a:prstGeom prst="rect"/>
                  </pic:spPr>
                </pic:pic>
              </a:graphicData>
            </a:graphic>
          </wp:inline>
        </w:drawing>
      </w:r>
    </w:p>
    <w:p>
      <w:pPr>
        <w:pStyle w:val="BodyText"/>
      </w:pPr>
      <w:r>
        <w:t>Figure 2. Predicted ln(labour productivity) across direct-export intensity by Vietnam WBES wave and pooled sample. Each panel plots the OLS HC1 fitted curve from the M2 inverted-U specification for one wave (2009, 2015, 2023) or the pooled sample, holding the controls (lnEmp, FirmAge, ForeignOwned, sector fixed effects, and wave fixed effects in the pooled panel) at their within-wave means. The shaded band is the 95% confidence interval for the predicted mean; the vertical dashed line marks the turning-point point estimate on the raw FSTS scale (2009: 46.2 %; 2015: 39.6 %; 2023: 41.6 %; pooled: 39.8 %).</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Antonakis, J., Bendahan, S., Jacquart, P., &amp; Lalive, R. (2010). On making causal claims: A review and recommendations. The Leadership Quarterly, 21(6), 1086–1120. https://doi.org/10.1016/j.leaqua.2010.10.010</w:t>
      </w:r>
    </w:p>
    <w:p>
      <w:pPr>
        <w:pStyle w:val="BodyText"/>
      </w:pPr>
      <w:r>
        <w:t>Anwar, S., &amp; Nguyen, L. P. (2010). Foreign direct investment and economic growth in Vietnam. Asia Pacific Business Review, 16(1–2), 183–202. https://doi.org/10.1080/13602380802364943</w:t>
      </w:r>
    </w:p>
    <w:p>
      <w:pPr>
        <w:pStyle w:val="BodyText"/>
      </w:pPr>
      <w:r>
        <w:t>Bharadwaj, A., El Sawy, O. A., Pavlou, P. A., &amp; Venkatraman, N. (2013). Digital business strategy: Toward a next generation of insights. MIS Quarterly, 37(2), 471–482. https://doi.org/10.25300/MISQ/2013/37:2.3</w:t>
      </w:r>
    </w:p>
    <w:p>
      <w:pPr>
        <w:pStyle w:val="BodyText"/>
      </w:pPr>
      <w:r>
        <w:t>Brynjolfsson, E., Rock, D., &amp; Syverson, C. (2021). The productivity J-curve: How intangibles complement general purpose technologies. American Economic Journal: Macroeconomics, 13(1), 333–372. https://doi.org/10.1257/mac.20180386</w:t>
      </w:r>
    </w:p>
    <w:p>
      <w:pPr>
        <w:pStyle w:val="BodyText"/>
      </w:pPr>
      <w:r>
        <w:t>Buckley, P. J., Clegg, L. J., Cross, A. R., Liu, X., Voss, H., &amp; Zheng, P. (2007). The determinants of Chinese outward foreign direct investment. Journal of International Business Studies, 38(4), 499–518. https://doi.org/10.1057/palgrave.jibs.8400277</w:t>
      </w:r>
    </w:p>
    <w:p>
      <w:pPr>
        <w:pStyle w:val="BodyText"/>
      </w:pPr>
      <w:r>
        <w:t>Cassiman, B., &amp; Veugelers, R. (2006). In search of complementarity in innovation strategy: Internal R&amp;D and external knowledge acquisition. Management Science, 52(1), 68–82. https://doi.org/10.1287/mnsc.1050.0470</w:t>
      </w:r>
    </w:p>
    <w:p>
      <w:pPr>
        <w:pStyle w:val="BodyText"/>
      </w:pPr>
      <w:r>
        <w:t>Cohen, W. M., &amp; Levinthal, D. A. (1990). Absorptive capacity: A new perspective on learning and innovation. Administrative Science Quarterly, 35(1), 128–152. https://doi.org/10.2307/2393553</w:t>
      </w:r>
    </w:p>
    <w:p>
      <w:pPr>
        <w:pStyle w:val="BodyText"/>
      </w:pPr>
      <w:r>
        <w:t>Contractor, F. J. (2007). Is international business good for companies? The evolutionary or multi-stage theory of internationalization vs. the transaction cost perspective. Management International Review, 47(3), 453–475. https://doi.org/10.1007/s11575-007-0024-2</w:t>
      </w:r>
    </w:p>
    <w:p>
      <w:pPr>
        <w:pStyle w:val="BodyText"/>
      </w:pPr>
      <w:r>
        <w:t>Cuervo-Cazurra, A., &amp; Genc, M. (2008). Transforming disadvantages into advantages: Developing-country MNEs in the least developed countries. Journal of International Business Studies, 39(6), 957–979. https://doi.org/10.1057/palgrave.jibs.8400390</w:t>
      </w:r>
    </w:p>
    <w:p>
      <w:pPr>
        <w:pStyle w:val="BodyText"/>
      </w:pPr>
      <w:r>
        <w:t>Eden, L., &amp; Miller, S. R. (2004). Distance matters: Liability of foreignness, institutional distance and ownership strategy. In M. A. Hitt &amp; J. L. C. Cheng (Eds.), Theories of the multinational enterprise: Diversity, complexity and relevance (Advances in International Management, Vol. 16, pp. 187–221). Emerald.</w:t>
      </w:r>
    </w:p>
    <w:p>
      <w:pPr>
        <w:pStyle w:val="BodyText"/>
      </w:pPr>
      <w:r>
        <w:t>Goldfarb, A., &amp; Tucker, C. (2019). Digital economics. Journal of Economic Literature, 57(1), 3–43. https://doi.org/10.1257/jel.20171452</w:t>
      </w:r>
    </w:p>
    <w:p>
      <w:pPr>
        <w:pStyle w:val="BodyText"/>
      </w:pPr>
      <w:r>
        <w:t>Heckman, J. J. (1979). Sample selection bias as a specification error. Econometrica, 47(1), 153–161. https://doi.org/10.2307/1912352</w:t>
      </w:r>
    </w:p>
    <w:p>
      <w:pPr>
        <w:pStyle w:val="BodyText"/>
      </w:pPr>
      <w:r>
        <w:t>Helfat, C. E., &amp; Peteraf, M. A. (2003). The dynamic resource-based view: Capability lifecycles. Strategic Management Journal, 24(10), 997–1010. https://doi.org/10.1002/smj.332</w:t>
      </w:r>
    </w:p>
    <w:p>
      <w:pPr>
        <w:pStyle w:val="BodyText"/>
      </w:pPr>
      <w:r>
        <w:t>Hennart, J.-F. (2007). The theoretical rationale for a multinationality–performance relationship. Management International Review, 47(3), 423–452. https://doi.org/10.1007/s11575-007-0023-3</w:t>
      </w:r>
    </w:p>
    <w:p>
      <w:pPr>
        <w:pStyle w:val="BodyText"/>
      </w:pPr>
      <w:r>
        <w:t>Johanson, J., &amp; Vahlne, J.-E. (2009). The Uppsala internationalization process model revisited: From liability of foreignness to liability of outsidership. Journal of International Business Studies, 40(9), 1411–1431. https://doi.org/10.1057/jibs.2009.24</w:t>
      </w:r>
    </w:p>
    <w:p>
      <w:pPr>
        <w:pStyle w:val="BodyText"/>
      </w:pPr>
      <w:r>
        <w:t>Kafouros, M., &amp; Aliyev, M. (2016). Institutional development and firm profitability in transition economies. Journal of World Business, 51(3), 369–378. https://doi.org/10.1016/j.jwb.2015.06.002</w:t>
      </w:r>
    </w:p>
    <w:p>
      <w:pPr>
        <w:pStyle w:val="BodyText"/>
      </w:pPr>
      <w:r>
        <w:t>Lall, S. (1992). Technological capabilities and industrialization. World Development, 20(2), 165–186. https://doi.org/10.1016/0305-750X(92)90097-F</w:t>
      </w:r>
    </w:p>
    <w:p>
      <w:pPr>
        <w:pStyle w:val="BodyText"/>
      </w:pPr>
      <w:r>
        <w:t>Levinsohn, J., &amp; Petrin, A. (2003). Estimating production functions using inputs to control for unobservables. Review of Economic Studies, 70(2), 317–341. https://doi.org/10.1111/1467-937X.00246</w:t>
      </w:r>
    </w:p>
    <w:p>
      <w:pPr>
        <w:pStyle w:val="BodyText"/>
      </w:pPr>
      <w:r>
        <w:t>Lind, J. T., &amp; Mehlum, H. (2010). With or without U? The appropriate test for a U-shaped relationship. Oxford Bulletin of Economics and Statistics, 72(1), 109–118. https://doi.org/10.1111/j.1468-0084.2009.00569.x</w:t>
      </w:r>
    </w:p>
    <w:p>
      <w:pPr>
        <w:pStyle w:val="BodyText"/>
      </w:pPr>
      <w:r>
        <w:t>Lu, J. W., &amp; Beamish, P. W. (2004). International diversification and firm performance: The S-curve hypothesis. Academy of Management Journal, 47(4), 598–609. https://doi.org/10.5465/20159604</w:t>
      </w:r>
    </w:p>
    <w:p>
      <w:pPr>
        <w:pStyle w:val="BodyText"/>
      </w:pPr>
      <w:r>
        <w:t>Marano, V., Arregle, J.-L., Hitt, M. A., Spadafora, E., &amp; van Essen, M. (2016). Home country institutions and the internationalization–performance relationship: A meta-analytic review. Journal of Management, 42(5), 1075–1110. https://doi.org/10.1177/0149206315624963</w:t>
      </w:r>
    </w:p>
    <w:p>
      <w:pPr>
        <w:pStyle w:val="BodyText"/>
      </w:pPr>
      <w:r>
        <w:t>Nguyen, T. T., Mia, L., Winata, L., &amp; Chong, V. K. (2017). Effect of transformational leadership style and management control system on managerial performance. Journal of Business Research, 70, 202–213. https://doi.org/10.1016/j.jbusres.2016.08.018</w:t>
      </w:r>
    </w:p>
    <w:p>
      <w:pPr>
        <w:pStyle w:val="BodyText"/>
      </w:pPr>
      <w:r>
        <w:t>Paternoster, R., Brame, R., Mazerolle, P., &amp; Piquero, A. (1998). Using the correct statistical test for the equality of regression coefficients. Criminology, 36(4), 859–866. https://doi.org/10.1111/j.1745-9125.1998.tb01268.x</w:t>
      </w:r>
    </w:p>
    <w:p>
      <w:pPr>
        <w:pStyle w:val="BodyText"/>
      </w:pPr>
      <w:r>
        <w:t>Penrose, E. (1959). The theory of the growth of the firm. Oxford University Press.</w:t>
      </w:r>
    </w:p>
    <w:p>
      <w:pPr>
        <w:pStyle w:val="BodyText"/>
      </w:pPr>
      <w:r>
        <w:t>Powell, K. S. (2014). Profitability and speed of foreign market entry. Management International Review, 54(1), 31–45. https://doi.org/10.1007/s11575-013-0184-1</w:t>
      </w:r>
    </w:p>
    <w:p>
      <w:pPr>
        <w:pStyle w:val="BodyText"/>
      </w:pPr>
      <w:r>
        <w:t>Teece, D. J. (2007). Explicating dynamic capabilities: The nature and micro­foundations of (sustainable) enterprise performance. Strategic Management Journal, 28(13), 1319–1350. https://doi.org/10.1002/smj.640</w:t>
      </w:r>
    </w:p>
    <w:p>
      <w:pPr>
        <w:pStyle w:val="BodyText"/>
      </w:pPr>
      <w:r>
        <w:t>Vahlne, J.-E., &amp; Johanson, J. (2017). From internationalization to evolution: The Uppsala model at 40 years. Journal of International Business Studies, 48(9), 1087–1102. https://doi.org/10.1057/s41267-017-0107-7</w:t>
      </w:r>
    </w:p>
    <w:p>
      <w:pPr>
        <w:pStyle w:val="BodyText"/>
      </w:pPr>
      <w:r>
        <w:t>Verbeke, A., &amp; Kano, L. (2016). An internalization theory perspective on the global and regional strategies of multinational enterprises. Journal of World Business, 51(1), 83–92. https://doi.org/10.1016/j.jwb.2015.08.014</w:t>
      </w:r>
    </w:p>
    <w:p>
      <w:pPr>
        <w:pStyle w:val="BodyText"/>
      </w:pPr>
      <w:r>
        <w:t>Verhoef, P. C., Broekhuizen, T., Bart, Y., Bhattacharya, A., Dong, J. Q., Fabian, N., &amp; Haenlein, M. (2021). Digital transformation: A multidisciplinary reflection and research agenda. Journal of Business Research, 122, 889–901. https://doi.org/10.1016/j.jbusres.2019.09.022</w:t>
      </w:r>
    </w:p>
    <w:p>
      <w:pPr>
        <w:pStyle w:val="BodyText"/>
      </w:pPr>
      <w:r>
        <w:t>Vernon, R. (1979). The product cycle hypothesis in a new international environment. Oxford Bulletin of Economics and Statistics, 41(4), 255–267. https://doi.org/10.1111/j.1468-0084.1979.mp41004002.x</w:t>
      </w:r>
    </w:p>
    <w:p>
      <w:pPr>
        <w:pStyle w:val="BodyText"/>
      </w:pPr>
      <w:r>
        <w:t>Wagner, J. (2007). Exports and productivity: A survey of the evidence from firm-level data. The World Economy, 30(1), 60–82. https://doi.org/10.1111/j.1467-9701.2007.00872.x</w:t>
      </w:r>
    </w:p>
    <w:p>
      <w:pPr>
        <w:pStyle w:val="BodyText"/>
      </w:pPr>
      <w:r>
        <w:t>Wooldridge, J. M. (2010). Econometric analysis of cross section and panel data (2nd ed.). MIT Press.</w:t>
      </w:r>
    </w:p>
    <w:p>
      <w:pPr>
        <w:pStyle w:val="BodyText"/>
      </w:pPr>
      <w:r>
        <w:t>World Bank. (2010). Vietnam Enterprise Survey 2009 [data file]. World Bank Enterprise Surveys. https://www.enterprisesurveys.org</w:t>
      </w:r>
    </w:p>
    <w:p>
      <w:pPr>
        <w:pStyle w:val="BodyText"/>
      </w:pPr>
      <w:r>
        <w:t>World Bank. (2016). Vietnam Enterprise Survey 2015 [data file]. World Bank Enterprise Surveys. https://www.enterprisesurveys.org</w:t>
      </w:r>
    </w:p>
    <w:p>
      <w:pPr>
        <w:pStyle w:val="BodyText"/>
      </w:pPr>
      <w:r>
        <w:t>World Bank. (2024). Vietnam Enterprise Survey 2023 [data file]. World Bank Enterprise Surveys. https://www.enterprisesurveys.org</w:t>
      </w:r>
    </w:p>
    <w:p>
      <w:pPr>
        <w:pStyle w:val="BodyText"/>
      </w:pPr>
      <w:r>
        <w:t>Wright, M., Filatotchev, I., Hoskisson, R. E., &amp; Peng, M. W. (2005). Strategy research in emerging economies: Challenging the conventional wisdom. Journal of Management Studies, 42(1), 1–33. https://doi.org/10.1111/j.1467-6486.2005.00487.x</w:t>
      </w:r>
    </w:p>
    <w:p>
      <w:pPr>
        <w:pStyle w:val="BodyText"/>
      </w:pPr>
      <w:r>
        <w:t>Zhou, L., Wu, W.-P., &amp; Luo, X. (2007). Internationalization and the performance of born-global SMEs: The mediating role of social networks. Journal of International Business Studies, 38(4), 673–690. https://doi.org/10.1057/palgrave.jibs.8400282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