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center"/>
      </w:pPr>
      <w:r>
        <w:rPr>
          <w:rFonts w:ascii="Times New Roman" w:cs="Times New Roman" w:eastAsia="Times New Roman" w:hAnsi="Times New Roman"/>
          <w:b/>
          <w:bCs/>
          <w:sz w:val="26"/>
          <w:szCs w:val="26"/>
        </w:rPr>
        <w:t xml:space="preserve">Technological Capability, Digital Adoption, and the Internationalization–Performance Relationship in Singapore</w:t>
      </w:r>
    </w:p>
    <w:p>
      <w:pPr>
        <w:spacing w:after="160" w:before="280"/>
        <w:jc w:val="left"/>
      </w:pPr>
      <w:r>
        <w:rPr>
          <w:rFonts w:ascii="Times New Roman" w:cs="Times New Roman" w:eastAsia="Times New Roman" w:hAnsi="Times New Roman"/>
          <w:b/>
          <w:bCs/>
          <w:sz w:val="22"/>
          <w:szCs w:val="22"/>
        </w:rPr>
        <w:t xml:space="preserve">Abstract</w:t>
      </w:r>
    </w:p>
    <w:p>
      <w:pPr>
        <w:spacing w:after="0" w:line="480" w:lineRule="auto"/>
        <w:jc w:val="both"/>
      </w:pPr>
      <w:r>
        <w:rPr>
          <w:rFonts w:ascii="Times New Roman" w:cs="Times New Roman" w:eastAsia="Times New Roman" w:hAnsi="Times New Roman"/>
          <w:sz w:val="20"/>
          <w:szCs w:val="2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and operates as a level-shift effect on the productivity intercept rather than as a curvature-shaping moderator. The baseline internationalization–performance pattern is best characterized as primarily monotonic with mild quadratic curvature within the observed export-intensity range; given the thin right tail of the FSTS distribution, the inferred turning point should be read as suggestive rather than as formally identified evidence of a conventional inverted-U. DAI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p>
    <w:p>
      <w:pPr>
        <w:spacing w:after="120" w:line="480" w:lineRule="auto"/>
        <w:jc w:val="left"/>
      </w:pPr>
      <w:r>
        <w:rPr>
          <w:rFonts w:ascii="Times New Roman" w:cs="Times New Roman" w:eastAsia="Times New Roman" w:hAnsi="Times New Roman"/>
          <w:sz w:val="20"/>
          <w:szCs w:val="20"/>
        </w:rPr>
        <w:t xml:space="preserve"/>
      </w:r>
    </w:p>
    <w:p>
      <w:pPr>
        <w:spacing w:after="0" w:line="480" w:lineRule="auto"/>
        <w:jc w:val="left"/>
      </w:pPr>
      <w:r>
        <w:rPr>
          <w:rFonts w:ascii="Times New Roman" w:cs="Times New Roman" w:eastAsia="Times New Roman" w:hAnsi="Times New Roman"/>
          <w:b/>
          <w:bCs/>
          <w:sz w:val="20"/>
          <w:szCs w:val="20"/>
        </w:rPr>
        <w:t xml:space="preserve">Keywords: internationalization–performance; digital adoption; technological capability; boundary conditions; World Bank Enterprise Survey</w:t>
      </w:r>
    </w:p>
    <w:p>
      <w:pPr>
        <w:spacing w:after="240" w:before="360"/>
        <w:jc w:val="left"/>
      </w:pPr>
      <w:r>
        <w:rPr>
          <w:rFonts w:ascii="Times New Roman" w:cs="Times New Roman" w:eastAsia="Times New Roman" w:hAnsi="Times New Roman"/>
          <w:b/>
          <w:bCs/>
          <w:sz w:val="24"/>
          <w:szCs w:val="24"/>
        </w:rPr>
        <w:t xml:space="preserve">1 Introduction</w:t>
      </w:r>
    </w:p>
    <w:p>
      <w:pPr>
        <w:spacing w:after="160" w:before="280"/>
        <w:jc w:val="left"/>
      </w:pPr>
      <w:r>
        <w:rPr>
          <w:rFonts w:ascii="Times New Roman" w:cs="Times New Roman" w:eastAsia="Times New Roman" w:hAnsi="Times New Roman"/>
          <w:b/>
          <w:bCs/>
          <w:sz w:val="22"/>
          <w:szCs w:val="22"/>
        </w:rPr>
        <w:t xml:space="preserve">1.1 Background and motivation</w:t>
      </w:r>
    </w:p>
    <w:p>
      <w:pPr>
        <w:spacing w:after="0" w:line="480" w:lineRule="auto"/>
        <w:ind w:firstLine="720"/>
        <w:jc w:val="both"/>
      </w:pPr>
      <w:r>
        <w:rPr>
          <w:rFonts w:ascii="Times New Roman" w:cs="Times New Roman" w:eastAsia="Times New Roman" w:hAnsi="Times New Roman"/>
          <w:sz w:val="20"/>
          <w:szCs w:val="2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converged on the modal finding of an inverted-U relationship (Contractor et al., 2003; Hitt et al., 1997; Lu &amp; Beamish, 2004), but this literature was developed largely on samples from pre-digital or transitional-digital economies and may not capture how the I–P curvature behaves when firms operate in a digitally mature institutional environment.</w:t>
      </w:r>
    </w:p>
    <w:p>
      <w:pPr>
        <w:spacing w:after="0" w:line="480" w:lineRule="auto"/>
        <w:ind w:firstLine="720"/>
        <w:jc w:val="both"/>
      </w:pPr>
      <w:r>
        <w:rPr>
          <w:rFonts w:ascii="Times New Roman" w:cs="Times New Roman" w:eastAsia="Times New Roman" w:hAnsi="Times New Roman"/>
          <w:sz w:val="20"/>
          <w:szCs w:val="2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performance at different stages of internationalization is, ex ante, an empirical question.</w:t>
      </w:r>
    </w:p>
    <w:p>
      <w:pPr>
        <w:spacing w:after="160" w:before="280"/>
        <w:jc w:val="left"/>
      </w:pPr>
      <w:r>
        <w:rPr>
          <w:rFonts w:ascii="Times New Roman" w:cs="Times New Roman" w:eastAsia="Times New Roman" w:hAnsi="Times New Roman"/>
          <w:b/>
          <w:bCs/>
          <w:sz w:val="22"/>
          <w:szCs w:val="22"/>
        </w:rPr>
        <w:t xml:space="preserve">1.2 Research gap</w:t>
      </w:r>
    </w:p>
    <w:p>
      <w:pPr>
        <w:spacing w:after="0" w:line="480" w:lineRule="auto"/>
        <w:ind w:firstLine="720"/>
        <w:jc w:val="both"/>
      </w:pPr>
      <w:r>
        <w:rPr>
          <w:rFonts w:ascii="Times New Roman" w:cs="Times New Roman" w:eastAsia="Times New Roman" w:hAnsi="Times New Roman"/>
          <w:sz w:val="20"/>
          <w:szCs w:val="2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theoretical frameworks for digital internationalization (Banalieva &amp; Dhanaraj, 2019; Stallkamp &amp; Schotter, 2021) or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p>
    <w:p>
      <w:pPr>
        <w:spacing w:after="160" w:before="280"/>
        <w:jc w:val="left"/>
      </w:pPr>
      <w:r>
        <w:rPr>
          <w:rFonts w:ascii="Times New Roman" w:cs="Times New Roman" w:eastAsia="Times New Roman" w:hAnsi="Times New Roman"/>
          <w:b/>
          <w:bCs/>
          <w:sz w:val="22"/>
          <w:szCs w:val="22"/>
        </w:rPr>
        <w:t xml:space="preserve">1.3 Contribution</w:t>
      </w:r>
    </w:p>
    <w:p>
      <w:pPr>
        <w:spacing w:after="0" w:line="480" w:lineRule="auto"/>
        <w:ind w:firstLine="720"/>
        <w:jc w:val="both"/>
      </w:pPr>
      <w:r>
        <w:rPr>
          <w:rFonts w:ascii="Times New Roman" w:cs="Times New Roman" w:eastAsia="Times New Roman" w:hAnsi="Times New Roman"/>
          <w:sz w:val="20"/>
          <w:szCs w:val="2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p>
    <w:p>
      <w:pPr>
        <w:spacing w:after="0" w:line="480" w:lineRule="auto"/>
        <w:ind w:firstLine="720"/>
        <w:jc w:val="both"/>
      </w:pPr>
      <w:r>
        <w:rPr>
          <w:rFonts w:ascii="Times New Roman" w:cs="Times New Roman" w:eastAsia="Times New Roman" w:hAnsi="Times New Roman"/>
          <w:sz w:val="20"/>
          <w:szCs w:val="2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p>
    <w:p>
      <w:pPr>
        <w:spacing w:after="0" w:line="480" w:lineRule="auto"/>
        <w:ind w:firstLine="720"/>
        <w:jc w:val="both"/>
      </w:pPr>
      <w:r>
        <w:rPr>
          <w:rFonts w:ascii="Times New Roman" w:cs="Times New Roman" w:eastAsia="Times New Roman" w:hAnsi="Times New Roman"/>
          <w:sz w:val="20"/>
          <w:szCs w:val="2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p>
    <w:p>
      <w:pPr>
        <w:spacing w:after="160" w:before="280"/>
        <w:jc w:val="left"/>
      </w:pPr>
      <w:r>
        <w:rPr>
          <w:rFonts w:ascii="Times New Roman" w:cs="Times New Roman" w:eastAsia="Times New Roman" w:hAnsi="Times New Roman"/>
          <w:b/>
          <w:bCs/>
          <w:sz w:val="22"/>
          <w:szCs w:val="22"/>
        </w:rPr>
        <w:t xml:space="preserve">1.4 Roadmap</w:t>
      </w:r>
    </w:p>
    <w:p>
      <w:pPr>
        <w:spacing w:after="0" w:line="480" w:lineRule="auto"/>
        <w:ind w:firstLine="720"/>
        <w:jc w:val="both"/>
      </w:pPr>
      <w:r>
        <w:rPr>
          <w:rFonts w:ascii="Times New Roman" w:cs="Times New Roman" w:eastAsia="Times New Roman" w:hAnsi="Times New Roman"/>
          <w:sz w:val="20"/>
          <w:szCs w:val="2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p>
    <w:p>
      <w:pPr>
        <w:spacing w:after="240" w:before="360"/>
        <w:jc w:val="left"/>
      </w:pPr>
      <w:r>
        <w:rPr>
          <w:rFonts w:ascii="Times New Roman" w:cs="Times New Roman" w:eastAsia="Times New Roman" w:hAnsi="Times New Roman"/>
          <w:b/>
          <w:bCs/>
          <w:sz w:val="24"/>
          <w:szCs w:val="24"/>
        </w:rPr>
        <w:t xml:space="preserve">2 Theory and Hypotheses</w:t>
      </w:r>
    </w:p>
    <w:p>
      <w:pPr>
        <w:spacing w:after="160" w:before="280"/>
        <w:jc w:val="left"/>
      </w:pPr>
      <w:r>
        <w:rPr>
          <w:rFonts w:ascii="Times New Roman" w:cs="Times New Roman" w:eastAsia="Times New Roman" w:hAnsi="Times New Roman"/>
          <w:b/>
          <w:bCs/>
          <w:sz w:val="22"/>
          <w:szCs w:val="22"/>
        </w:rPr>
        <w:t xml:space="preserve">2.1 The internationalization–performance relationship</w:t>
      </w:r>
    </w:p>
    <w:p>
      <w:pPr>
        <w:spacing w:after="0" w:line="480" w:lineRule="auto"/>
        <w:ind w:firstLine="720"/>
        <w:jc w:val="both"/>
      </w:pPr>
      <w:r>
        <w:rPr>
          <w:rFonts w:ascii="Times New Roman" w:cs="Times New Roman" w:eastAsia="Times New Roman" w:hAnsi="Times New Roman"/>
          <w:sz w:val="20"/>
          <w:szCs w:val="2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p>
    <w:p>
      <w:pPr>
        <w:spacing w:after="0" w:line="480" w:lineRule="auto"/>
        <w:ind w:firstLine="720"/>
        <w:jc w:val="both"/>
      </w:pPr>
      <w:r>
        <w:rPr>
          <w:rFonts w:ascii="Times New Roman" w:cs="Times New Roman" w:eastAsia="Times New Roman" w:hAnsi="Times New Roman"/>
          <w:sz w:val="20"/>
          <w:szCs w:val="2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p>
    <w:p>
      <w:pPr>
        <w:spacing w:after="160" w:before="280"/>
        <w:jc w:val="left"/>
      </w:pPr>
      <w:r>
        <w:rPr>
          <w:rFonts w:ascii="Times New Roman" w:cs="Times New Roman" w:eastAsia="Times New Roman" w:hAnsi="Times New Roman"/>
          <w:b/>
          <w:bCs/>
          <w:sz w:val="22"/>
          <w:szCs w:val="22"/>
        </w:rPr>
        <w:t xml:space="preserve">2.2 Two distinct constructs: TCI and DAI</w:t>
      </w:r>
    </w:p>
    <w:p>
      <w:pPr>
        <w:spacing w:after="0" w:line="480" w:lineRule="auto"/>
        <w:ind w:firstLine="720"/>
        <w:jc w:val="both"/>
      </w:pPr>
      <w:r>
        <w:rPr>
          <w:rFonts w:ascii="Times New Roman" w:cs="Times New Roman" w:eastAsia="Times New Roman" w:hAnsi="Times New Roman"/>
          <w:sz w:val="20"/>
          <w:szCs w:val="2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pPr>
        <w:spacing w:after="0" w:line="480" w:lineRule="auto"/>
        <w:ind w:firstLine="720"/>
        <w:jc w:val="both"/>
      </w:pPr>
      <w:r>
        <w:rPr>
          <w:rFonts w:ascii="Times New Roman" w:cs="Times New Roman" w:eastAsia="Times New Roman" w:hAnsi="Times New Roman"/>
          <w:sz w:val="20"/>
          <w:szCs w:val="2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p>
    <w:p>
      <w:pPr>
        <w:spacing w:after="0" w:line="480" w:lineRule="auto"/>
        <w:ind w:firstLine="720"/>
        <w:jc w:val="both"/>
      </w:pPr>
      <w:r>
        <w:rPr>
          <w:rFonts w:ascii="Times New Roman" w:cs="Times New Roman" w:eastAsia="Times New Roman" w:hAnsi="Times New Roman"/>
          <w:sz w:val="20"/>
          <w:szCs w:val="2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"digital capability" label would therefore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p>
    <w:p>
      <w:pPr>
        <w:spacing w:after="160" w:before="280"/>
        <w:jc w:val="left"/>
      </w:pPr>
      <w:r>
        <w:rPr>
          <w:rFonts w:ascii="Times New Roman" w:cs="Times New Roman" w:eastAsia="Times New Roman" w:hAnsi="Times New Roman"/>
          <w:b/>
          <w:bCs/>
          <w:sz w:val="22"/>
          <w:szCs w:val="22"/>
        </w:rPr>
        <w:t xml:space="preserve">2.3 Hypothesis development</w:t>
      </w:r>
    </w:p>
    <w:p>
      <w:pPr>
        <w:spacing w:after="120" w:before="240"/>
        <w:jc w:val="left"/>
      </w:pPr>
      <w:r>
        <w:rPr>
          <w:rFonts w:ascii="Times New Roman" w:cs="Times New Roman" w:eastAsia="Times New Roman" w:hAnsi="Times New Roman"/>
          <w:b/>
          <w:bCs/>
          <w:i/>
          <w:iCs/>
          <w:sz w:val="20"/>
          <w:szCs w:val="20"/>
        </w:rPr>
        <w:t xml:space="preserve">2.3.1 TCI direct effect on productivity</w:t>
      </w:r>
    </w:p>
    <w:p>
      <w:pPr>
        <w:spacing w:after="0" w:line="480" w:lineRule="auto"/>
        <w:ind w:firstLine="720"/>
        <w:jc w:val="both"/>
      </w:pPr>
      <w:r>
        <w:rPr>
          <w:rFonts w:ascii="Times New Roman" w:cs="Times New Roman" w:eastAsia="Times New Roman" w:hAnsi="Times New Roman"/>
          <w:sz w:val="20"/>
          <w:szCs w:val="2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1 (H1). </w:t>
      </w:r>
      <w:r>
        <w:rPr>
          <w:rFonts w:ascii="Times New Roman" w:cs="Times New Roman" w:eastAsia="Times New Roman" w:hAnsi="Times New Roman"/>
          <w:i/>
          <w:iCs/>
          <w:sz w:val="20"/>
          <w:szCs w:val="20"/>
        </w:rPr>
        <w:t xml:space="preserve">Technological capability (TCI) is positively associated with firm performance in Singapore.</w:t>
      </w:r>
    </w:p>
    <w:p>
      <w:pPr>
        <w:spacing w:after="120" w:before="240"/>
        <w:jc w:val="left"/>
      </w:pPr>
      <w:r>
        <w:rPr>
          <w:rFonts w:ascii="Times New Roman" w:cs="Times New Roman" w:eastAsia="Times New Roman" w:hAnsi="Times New Roman"/>
          <w:b/>
          <w:bCs/>
          <w:i/>
          <w:iCs/>
          <w:sz w:val="20"/>
          <w:szCs w:val="20"/>
        </w:rPr>
        <w:t xml:space="preserve">2.3.2 TCI moderation of the I–P relationship</w:t>
      </w:r>
    </w:p>
    <w:p>
      <w:pPr>
        <w:spacing w:after="0" w:line="480" w:lineRule="auto"/>
        <w:ind w:firstLine="720"/>
        <w:jc w:val="both"/>
      </w:pPr>
      <w:r>
        <w:rPr>
          <w:rFonts w:ascii="Times New Roman" w:cs="Times New Roman" w:eastAsia="Times New Roman" w:hAnsi="Times New Roman"/>
          <w:sz w:val="20"/>
          <w:szCs w:val="2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2 (H2). </w:t>
      </w:r>
      <w:r>
        <w:rPr>
          <w:rFonts w:ascii="Times New Roman" w:cs="Times New Roman" w:eastAsia="Times New Roman" w:hAnsi="Times New Roman"/>
          <w:i/>
          <w:iCs/>
          <w:sz w:val="20"/>
          <w:szCs w:val="20"/>
        </w:rPr>
        <w:t xml:space="preserve">The TCI–productivity association in Singapore operates predominantly as a level-shift effect on the productivity intercept rather than as a curvature-shaping moderator of the internationalization–performance relationship.</w:t>
      </w:r>
    </w:p>
    <w:p>
      <w:pPr>
        <w:spacing w:after="120" w:before="240"/>
        <w:jc w:val="left"/>
      </w:pPr>
      <w:r>
        <w:rPr>
          <w:rFonts w:ascii="Times New Roman" w:cs="Times New Roman" w:eastAsia="Times New Roman" w:hAnsi="Times New Roman"/>
          <w:b/>
          <w:bCs/>
          <w:i/>
          <w:iCs/>
          <w:sz w:val="20"/>
          <w:szCs w:val="20"/>
        </w:rPr>
        <w:t xml:space="preserve">2.3.3 DAI direct effect on productivity</w:t>
      </w:r>
    </w:p>
    <w:p>
      <w:pPr>
        <w:spacing w:after="0" w:line="480" w:lineRule="auto"/>
        <w:ind w:firstLine="720"/>
        <w:jc w:val="both"/>
      </w:pPr>
      <w:r>
        <w:rPr>
          <w:rFonts w:ascii="Times New Roman" w:cs="Times New Roman" w:eastAsia="Times New Roman" w:hAnsi="Times New Roman"/>
          <w:sz w:val="20"/>
          <w:szCs w:val="20"/>
        </w:rPr>
        <w:t xml:space="preserve">Digital adoption should generate productivity returns through reduced transaction costs, faster information flow, and broader market reach (Bharadwaj et al., 2013; Verhoef et al., 2021). The magnitude of these returns, however, is unlikely to be uniform across firms. Tier 1–2 digital adoption (digital presence and electronic-transaction capability) primarily enables firms to scale existing operations through digital channels rather than to create capability depth de novo (Verhoef et al., 2021). The productivity payoff of such adoption should therefore depend on the extent to which the firm operates at scales where these scale-enabling features can be exercised intensively. At the digital frontier, where cross-border digital infrastructure is mature, the average DAI–productivity association is expected to be positive but modest at the unconditional mean, with most of the productivity premium materializing in firms whose operating scale — in particular, their cross-border activity — provides sufficient throughput for digital channels to be exploited efficiently. We therefore frame H3 as a directional but conditional claim, reserving the explicit moderation prediction for H4.</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3 (H3). </w:t>
      </w:r>
      <w:r>
        <w:rPr>
          <w:rFonts w:ascii="Times New Roman" w:cs="Times New Roman" w:eastAsia="Times New Roman" w:hAnsi="Times New Roman"/>
          <w:i/>
          <w:iCs/>
          <w:sz w:val="20"/>
          <w:szCs w:val="20"/>
        </w:rPr>
        <w:t xml:space="preserve">Digital adoption (DAI) is positively associated with firm performance in Singapore on average, with the magnitude of this association expected to vary systematically with the firm’s internationalization intensity (formally tested in H4).</w:t>
      </w:r>
    </w:p>
    <w:p>
      <w:pPr>
        <w:spacing w:after="120" w:before="240"/>
        <w:jc w:val="left"/>
      </w:pPr>
      <w:r>
        <w:rPr>
          <w:rFonts w:ascii="Times New Roman" w:cs="Times New Roman" w:eastAsia="Times New Roman" w:hAnsi="Times New Roman"/>
          <w:b/>
          <w:bCs/>
          <w:i/>
          <w:iCs/>
          <w:sz w:val="20"/>
          <w:szCs w:val="20"/>
        </w:rPr>
        <w:t xml:space="preserve">2.3.4 DAI as a conditional complement to export intensity</w:t>
      </w:r>
    </w:p>
    <w:p>
      <w:pPr>
        <w:spacing w:after="0" w:line="480" w:lineRule="auto"/>
        <w:ind w:firstLine="720"/>
        <w:jc w:val="both"/>
      </w:pPr>
      <w:r>
        <w:rPr>
          <w:rFonts w:ascii="Times New Roman" w:cs="Times New Roman" w:eastAsia="Times New Roman" w:hAnsi="Times New Roman"/>
          <w:sz w:val="20"/>
          <w:szCs w:val="2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4 (H4). </w:t>
      </w:r>
      <w:r>
        <w:rPr>
          <w:rFonts w:ascii="Times New Roman" w:cs="Times New Roman" w:eastAsia="Times New Roman" w:hAnsi="Times New Roman"/>
          <w:i/>
          <w:iCs/>
          <w:sz w:val="20"/>
          <w:szCs w:val="20"/>
        </w:rPr>
        <w:t xml:space="preserve">The association between digital adoption (DAI) and firm performance becomes more positive at higher levels of export intensity in Singapore.</w:t>
      </w:r>
    </w:p>
    <w:p>
      <w:pPr>
        <w:spacing w:after="160" w:before="280"/>
        <w:jc w:val="left"/>
      </w:pPr>
      <w:r>
        <w:rPr>
          <w:rFonts w:ascii="Times New Roman" w:cs="Times New Roman" w:eastAsia="Times New Roman" w:hAnsi="Times New Roman"/>
          <w:b/>
          <w:bCs/>
          <w:sz w:val="22"/>
          <w:szCs w:val="22"/>
        </w:rPr>
        <w:t xml:space="preserve">2.4 Conceptual model</w:t>
      </w:r>
    </w:p>
    <w:p>
      <w:pPr>
        <w:spacing w:after="0" w:line="480" w:lineRule="auto"/>
        <w:ind w:firstLine="720"/>
        <w:jc w:val="both"/>
      </w:pPr>
      <w:r>
        <w:rPr>
          <w:rFonts w:ascii="Times New Roman" w:cs="Times New Roman" w:eastAsia="Times New Roman" w:hAnsi="Times New Roman"/>
          <w:sz w:val="20"/>
          <w:szCs w:val="20"/>
        </w:rPr>
        <w:t xml:space="preserve">Figure 1 summarizes the conceptual model. The model represents TCI and DAI as analytically distinct firm-level constructs, each with a directional association with firm performance (H1 and H3). TCI is theorized to operate as a level-shift effect on the productivity intercept rather than as a curvature-shaping moderator (H2), whereas DAI is theorized to interact with export intensity such that its productivity association strengthens at higher levels of FSTS (H4). H3 and H4 are jointly informative: H3 specifies the average directional association, and H4 specifies the contingency that governs its magnitude. The whole model is positioned within a digital-frontier institutional environment as the relevant boundary condition.</w:t>
      </w:r>
    </w:p>
    <w:p>
      <w:pPr>
        <w:spacing w:after="120" w:before="24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240" w:line="280" w:lineRule="auto"/>
        <w:jc w:val="center"/>
      </w:pPr>
      <w:r>
        <w:rPr>
          <w:rFonts w:ascii="Times New Roman" w:cs="Times New Roman" w:eastAsia="Times New Roman" w:hAnsi="Times New Roman"/>
          <w:i/>
          <w:iCs/>
          <w:sz w:val="18"/>
          <w:szCs w:val="18"/>
        </w:rPr>
        <w:t xml:space="preserve">Figure 1. Conceptual model: Technological capability, digital adoption, and the internationalization–performance relationship.</w:t>
      </w:r>
    </w:p>
    <w:p>
      <w:pPr>
        <w:spacing w:after="240" w:before="360"/>
        <w:jc w:val="left"/>
      </w:pPr>
      <w:r>
        <w:rPr>
          <w:rFonts w:ascii="Times New Roman" w:cs="Times New Roman" w:eastAsia="Times New Roman" w:hAnsi="Times New Roman"/>
          <w:b/>
          <w:bCs/>
          <w:sz w:val="24"/>
          <w:szCs w:val="24"/>
        </w:rPr>
        <w:t xml:space="preserve">3 Methods</w:t>
      </w:r>
    </w:p>
    <w:p>
      <w:pPr>
        <w:spacing w:after="160" w:before="280"/>
        <w:jc w:val="left"/>
      </w:pPr>
      <w:r>
        <w:rPr>
          <w:rFonts w:ascii="Times New Roman" w:cs="Times New Roman" w:eastAsia="Times New Roman" w:hAnsi="Times New Roman"/>
          <w:b/>
          <w:bCs/>
          <w:sz w:val="22"/>
          <w:szCs w:val="22"/>
        </w:rPr>
        <w:t xml:space="preserve">3.1 Data</w:t>
      </w:r>
    </w:p>
    <w:p>
      <w:pPr>
        <w:spacing w:after="0" w:line="480" w:lineRule="auto"/>
        <w:ind w:firstLine="720"/>
        <w:jc w:val="both"/>
      </w:pPr>
      <w:r>
        <w:rPr>
          <w:rFonts w:ascii="Times New Roman" w:cs="Times New Roman" w:eastAsia="Times New Roman" w:hAnsi="Times New Roman"/>
          <w:sz w:val="20"/>
          <w:szCs w:val="2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p>
    <w:p>
      <w:pPr>
        <w:spacing w:after="160" w:before="280"/>
        <w:jc w:val="left"/>
      </w:pPr>
      <w:r>
        <w:rPr>
          <w:rFonts w:ascii="Times New Roman" w:cs="Times New Roman" w:eastAsia="Times New Roman" w:hAnsi="Times New Roman"/>
          <w:b/>
          <w:bCs/>
          <w:sz w:val="22"/>
          <w:szCs w:val="22"/>
        </w:rPr>
        <w:t xml:space="preserve">3.2 Variables</w:t>
      </w:r>
    </w:p>
    <w:p>
      <w:pPr>
        <w:spacing w:after="120" w:before="240"/>
        <w:jc w:val="left"/>
      </w:pPr>
      <w:r>
        <w:rPr>
          <w:rFonts w:ascii="Times New Roman" w:cs="Times New Roman" w:eastAsia="Times New Roman" w:hAnsi="Times New Roman"/>
          <w:b/>
          <w:bCs/>
          <w:i/>
          <w:iCs/>
          <w:sz w:val="20"/>
          <w:szCs w:val="20"/>
        </w:rPr>
        <w:t xml:space="preserve">3.2.1 Dependent variable</w:t>
      </w:r>
    </w:p>
    <w:p>
      <w:pPr>
        <w:spacing w:after="0" w:line="480" w:lineRule="auto"/>
        <w:ind w:firstLine="720"/>
        <w:jc w:val="both"/>
      </w:pPr>
      <w:r>
        <w:rPr>
          <w:rFonts w:ascii="Times New Roman" w:cs="Times New Roman" w:eastAsia="Times New Roman" w:hAnsi="Times New Roman"/>
          <w:sz w:val="20"/>
          <w:szCs w:val="20"/>
        </w:rPr>
        <w:t xml:space="preserve">Consistent with the IB productivity-as-performance tradition (Avenyo et al., 2021; Krammer et al., 2018), we operationalize firm performance as labour productivity. Labour productivity is measured as ln(annual sales / full-time employees), constructed from WBES items d2 (annual sales) and l1 (full-time employees), following Krammer et al. (2018). All firms in this single cross-section share the 2023 fiscal reference year; sales figures are therefore expressed in nominal 2023 Singapore dollars, with the intercept absorbing any uniform price-level scaling. The variable is winsorized at the 1st and 99th percentiles to reduce sensitivity to extreme values.</w:t>
      </w:r>
    </w:p>
    <w:p>
      <w:pPr>
        <w:spacing w:after="120" w:before="240"/>
        <w:jc w:val="left"/>
      </w:pPr>
      <w:r>
        <w:rPr>
          <w:rFonts w:ascii="Times New Roman" w:cs="Times New Roman" w:eastAsia="Times New Roman" w:hAnsi="Times New Roman"/>
          <w:b/>
          <w:bCs/>
          <w:i/>
          <w:iCs/>
          <w:sz w:val="20"/>
          <w:szCs w:val="20"/>
        </w:rPr>
        <w:t xml:space="preserve">3.2.2 Focal independent variable</w:t>
      </w:r>
    </w:p>
    <w:p>
      <w:pPr>
        <w:spacing w:after="0" w:line="480" w:lineRule="auto"/>
        <w:ind w:firstLine="720"/>
        <w:jc w:val="both"/>
      </w:pPr>
      <w:r>
        <w:rPr>
          <w:rFonts w:ascii="Times New Roman" w:cs="Times New Roman" w:eastAsia="Times New Roman" w:hAnsi="Times New Roman"/>
          <w:sz w:val="20"/>
          <w:szCs w:val="2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p>
    <w:p>
      <w:pPr>
        <w:spacing w:after="120" w:before="240"/>
        <w:jc w:val="left"/>
      </w:pPr>
      <w:r>
        <w:rPr>
          <w:rFonts w:ascii="Times New Roman" w:cs="Times New Roman" w:eastAsia="Times New Roman" w:hAnsi="Times New Roman"/>
          <w:b/>
          <w:bCs/>
          <w:i/>
          <w:iCs/>
          <w:sz w:val="20"/>
          <w:szCs w:val="20"/>
        </w:rPr>
        <w:t xml:space="preserve">3.2.3 TCI and DAI composites</w:t>
      </w:r>
    </w:p>
    <w:p>
      <w:pPr>
        <w:spacing w:after="0" w:line="480" w:lineRule="auto"/>
        <w:ind w:firstLine="720"/>
        <w:jc w:val="both"/>
      </w:pPr>
      <w:r>
        <w:rPr>
          <w:rFonts w:ascii="Times New Roman" w:cs="Times New Roman" w:eastAsia="Times New Roman" w:hAnsi="Times New Roman"/>
          <w:sz w:val="20"/>
          <w:szCs w:val="2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p>
    <w:p>
      <w:pPr>
        <w:spacing w:after="0" w:line="480" w:lineRule="auto"/>
        <w:ind w:firstLine="720"/>
        <w:jc w:val="both"/>
      </w:pPr>
      <w:r>
        <w:rPr>
          <w:rFonts w:ascii="Times New Roman" w:cs="Times New Roman" w:eastAsia="Times New Roman" w:hAnsi="Times New Roman"/>
          <w:sz w:val="20"/>
          <w:szCs w:val="2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Equal weighting is substantively appropriate in this context because the component items are conceptually co-equal manifestations of distinct sub-dimensions of each construct rather than redundant indicators of a single dominant facet (Coltman et al., 2008): for TCI, the four items capture conceptually distinct capability dimensions (external technology linkage, innovation output, absorptive-capacity-building effort, and operational mastery via certification) that the Lall (1992) tradition treats as analytically separable, while for DAI the three items capture conceptually distinct digital-interface dimensions (digital presence, customer-side digital transactions, and supplier-side digital transactions). Data-driven weighting schemes (e.g., principal-components weights) would conflate empirical variance shares with conceptual importance and risk mechanically downweighting items that are theoretically central but distributionally rare in the WBES sample. The R2 robustness specification (TCI_thin) and the R1 robustness specification (DAI_thin, single-indicator website) jointly verify that the central inferences are not driven by any single dominant component of either composite. All coefficients on TCI and DAI are interpreted per one-standard-deviation increase in the composite.</w:t>
      </w:r>
    </w:p>
    <w:p>
      <w:pPr>
        <w:spacing w:after="120" w:before="240"/>
        <w:jc w:val="left"/>
      </w:pPr>
      <w:r>
        <w:rPr>
          <w:rFonts w:ascii="Times New Roman" w:cs="Times New Roman" w:eastAsia="Times New Roman" w:hAnsi="Times New Roman"/>
          <w:b/>
          <w:bCs/>
          <w:i/>
          <w:iCs/>
          <w:sz w:val="20"/>
          <w:szCs w:val="20"/>
        </w:rPr>
        <w:t xml:space="preserve">3.2.4 Controls</w:t>
      </w:r>
    </w:p>
    <w:p>
      <w:pPr>
        <w:spacing w:after="0" w:line="480" w:lineRule="auto"/>
        <w:ind w:firstLine="720"/>
        <w:jc w:val="both"/>
      </w:pPr>
      <w:r>
        <w:rPr>
          <w:rFonts w:ascii="Times New Roman" w:cs="Times New Roman" w:eastAsia="Times New Roman" w:hAnsi="Times New Roman"/>
          <w:sz w:val="20"/>
          <w:szCs w:val="20"/>
        </w:rPr>
        <w:t xml:space="preserve">We control for firm size (ln_empl, the natural logarithm of the number of full-time employees), firm age (year of survey minus year of establishment from WBES item b5), foreign-ownership status (binary, derived from WBES item b2b indicating ≥ 10% foreign equity), and broad sector fixed effects derived from the WBES sector classification (a4a). Sector indicators distinguish manufacturing, retail, and other services and absorb sector-level heterogeneity in average labour productivity, export propensity, technology-adoption norms, and digital-infrastructure penetration that would otherwise be loaded onto the focal regressors (cf. Avenyo et al., 2021; Krammer et al., 2018). Manager experience (WBES item b6), originally considered as a control, was dropped after a variance inflation factor diagnostic revealed severe collinearity with ln_empl (VIF = 6.11 before drop, 1.13 after; conventional threshold for moderate concern is 5; O'Brien, 2007).</w:t>
      </w:r>
    </w:p>
    <w:p>
      <w:pPr>
        <w:spacing w:after="160" w:before="280"/>
        <w:jc w:val="left"/>
      </w:pPr>
      <w:r>
        <w:rPr>
          <w:rFonts w:ascii="Times New Roman" w:cs="Times New Roman" w:eastAsia="Times New Roman" w:hAnsi="Times New Roman"/>
          <w:b/>
          <w:bCs/>
          <w:sz w:val="22"/>
          <w:szCs w:val="22"/>
        </w:rPr>
        <w:t xml:space="preserve">3.3 Estimation strategy and identification scope</w:t>
      </w:r>
    </w:p>
    <w:p>
      <w:pPr>
        <w:spacing w:after="0" w:line="480" w:lineRule="auto"/>
        <w:ind w:firstLine="720"/>
        <w:jc w:val="both"/>
      </w:pPr>
      <w:r>
        <w:rPr>
          <w:rFonts w:ascii="Times New Roman" w:cs="Times New Roman" w:eastAsia="Times New Roman" w:hAnsi="Times New Roman"/>
          <w:sz w:val="20"/>
          <w:szCs w:val="20"/>
        </w:rPr>
        <w:t xml:space="preserve">We estimate ordinary-least-squares regressions with Sector FE = broad WBES sector dummies (manufacturing, retail, other services). HC1 robust standard errors throughout (MacKinnon &amp; White, 1985). Models are nested progressively from a controls-only specification (M0) through an inverted-U baseline (M2), TCI direct effect (M5), DAI direct effect (M6), TCI + DAI joint direct effects (M7), TCI moderation (M3), DAI moderation (M4), and the full specification (M8):</w:t>
      </w:r>
    </w:p>
    <w:p>
      <w:pPr>
        <w:spacing w:after="120" w:line="480" w:lineRule="auto"/>
        <w:jc w:val="left"/>
      </w:pPr>
      <w:r>
        <w:rPr>
          <w:rFonts w:ascii="Times New Roman" w:cs="Times New Roman" w:eastAsia="Times New Roman" w:hAnsi="Times New Roman"/>
          <w:i/>
          <w:iCs/>
          <w:sz w:val="20"/>
          <w:szCs w:val="20"/>
        </w:rPr>
        <w:t xml:space="preserve">ln(LP) = α + β₁·FSTS_c + β₂·FSTS_c² + β₃·TCI + β₄·DAI + β₅·(FSTS_c × DAI) + β₆·(FSTS_c² × DAI) + γ·controls + ε,</w:t>
      </w:r>
    </w:p>
    <w:p>
      <w:pPr>
        <w:spacing w:after="0" w:line="480" w:lineRule="auto"/>
        <w:ind w:firstLine="720"/>
        <w:jc w:val="both"/>
      </w:pPr>
      <w:r>
        <w:rPr>
          <w:rFonts w:ascii="Times New Roman" w:cs="Times New Roman" w:eastAsia="Times New Roman" w:hAnsi="Times New Roman"/>
          <w:sz w:val="20"/>
          <w:szCs w:val="2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p>
    <w:p>
      <w:pPr>
        <w:spacing w:after="0" w:line="480" w:lineRule="auto"/>
        <w:ind w:firstLine="720"/>
        <w:jc w:val="both"/>
      </w:pPr>
      <w:r>
        <w:rPr>
          <w:rFonts w:ascii="Times New Roman" w:cs="Times New Roman" w:eastAsia="Times New Roman" w:hAnsi="Times New Roman"/>
          <w:sz w:val="20"/>
          <w:szCs w:val="20"/>
        </w:rPr>
        <w:t xml:space="preserve">Our identification scope is explicitly associational rather than causal, and we adopt the disciplined causal-language conventions advocated for international business and strategy research throughout the manuscript (Antonakis et al., 2010; Meyer et al., 2017; Shaver, 2020). The cross-sectional WBES Singapore 2023 design cannot rule out reverse causation or omitted-variable bias, and standard ex post diagnostics — including non-significant inverse Mills’ ratios from selection-correction models — do not constitute affirmative evidence of unbiasedness in the absence of a valid exclusion restriction (Wolfolds &amp; Siegel, 2019). Two selection mechanisms are particularly salient in our setting. First, productivity-driven self-selection into digital adoption: more productive firms possess the financial slack and absorptive capacity (Cohen &amp; Levinthal, 1990) to install electronic-payment systems and digital interfaces, so the observed DAI–productivity association may reflect this selection channel rather than a productivity-enhancing effect of digital adoption itself. Second, productivity-driven self-selection into export markets, whereby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We therefore use the language of “association,” “is consistent with,” and “supports” rather than causal verbs throughout, restrict our interpretive scope to firm-level patterns observed in this single cross-section, and treat the moderation evidence as identifying a boundary condition rather than as a tested causal mechanism. Section 6 specifies the panel-data and quasi-experimental designs that would be required to upgrade these associational claims to a causal identification.</w:t>
      </w:r>
    </w:p>
    <w:p>
      <w:pPr>
        <w:spacing w:after="240" w:before="360"/>
        <w:jc w:val="left"/>
      </w:pPr>
      <w:r>
        <w:rPr>
          <w:rFonts w:ascii="Times New Roman" w:cs="Times New Roman" w:eastAsia="Times New Roman" w:hAnsi="Times New Roman"/>
          <w:b/>
          <w:bCs/>
          <w:sz w:val="24"/>
          <w:szCs w:val="24"/>
        </w:rPr>
        <w:t xml:space="preserve">4 Results</w:t>
      </w:r>
    </w:p>
    <w:p>
      <w:pPr>
        <w:spacing w:after="160" w:before="280"/>
        <w:jc w:val="left"/>
      </w:pPr>
      <w:r>
        <w:rPr>
          <w:rFonts w:ascii="Times New Roman" w:cs="Times New Roman" w:eastAsia="Times New Roman" w:hAnsi="Times New Roman"/>
          <w:b/>
          <w:bCs/>
          <w:sz w:val="22"/>
          <w:szCs w:val="22"/>
        </w:rPr>
        <w:t xml:space="preserve">4.1 Descriptive statistics</w:t>
      </w:r>
    </w:p>
    <w:p>
      <w:pPr>
        <w:spacing w:after="0" w:line="480" w:lineRule="auto"/>
        <w:ind w:firstLine="720"/>
        <w:jc w:val="both"/>
      </w:pPr>
      <w:r>
        <w:rPr>
          <w:rFonts w:ascii="Times New Roman" w:cs="Times New Roman" w:eastAsia="Times New Roman" w:hAnsi="Times New Roman"/>
          <w:sz w:val="20"/>
          <w:szCs w:val="2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p>
    <w:p>
      <w:pPr>
        <w:spacing w:after="120" w:line="480" w:lineRule="auto"/>
        <w:jc w:val="left"/>
      </w:pPr>
      <w:r>
        <w:rPr>
          <w:rFonts w:ascii="Times New Roman" w:cs="Times New Roman" w:eastAsia="Times New Roman" w:hAnsi="Times New Roman"/>
          <w:b/>
          <w:bCs/>
          <w:sz w:val="20"/>
          <w:szCs w:val="20"/>
        </w:rPr>
        <w:t xml:space="preserve">Table 1. Descriptive statistics and pairwise correlations.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850"/>
        <w:gridCol w:w="850"/>
        <w:gridCol w:w="950"/>
        <w:gridCol w:w="950"/>
        <w:gridCol w:w="1000"/>
      </w:tblGrid>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A: Descriptive Statistics (N = 623)</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Mean</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SD</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Min</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Max</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p25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p50</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p75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Ln(Labour productivity)</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7.89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12.21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size (ln_empl)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4.25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Foreign-owned (0/1)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r>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B: Pairwise Correlations</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1</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2</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3</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4</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6</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7</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1. Ln(Lab. prod.)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2. 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3. 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4. 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5. Firm size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6. 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7. 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N = 623. *** p &lt; .001, ** p &lt; .01, * p &lt; .05, † p &lt; .10. TCI and DAI are z-standardized formative composites.</w:t>
      </w:r>
    </w:p>
    <w:p>
      <w:pPr>
        <w:spacing w:after="160" w:before="280"/>
        <w:jc w:val="left"/>
      </w:pPr>
      <w:r>
        <w:rPr>
          <w:rFonts w:ascii="Times New Roman" w:cs="Times New Roman" w:eastAsia="Times New Roman" w:hAnsi="Times New Roman"/>
          <w:b/>
          <w:bCs/>
          <w:sz w:val="22"/>
          <w:szCs w:val="22"/>
        </w:rPr>
        <w:t xml:space="preserve">4.2 The I–P relationship: primarily monotonic with mild curvature</w:t>
      </w:r>
    </w:p>
    <w:p>
      <w:pPr>
        <w:spacing w:after="0" w:line="480" w:lineRule="auto"/>
        <w:ind w:firstLine="720"/>
        <w:jc w:val="both"/>
      </w:pPr>
      <w:r>
        <w:rPr>
          <w:rFonts w:ascii="Times New Roman" w:cs="Times New Roman" w:eastAsia="Times New Roman" w:hAnsi="Times New Roman"/>
          <w:sz w:val="20"/>
          <w:szCs w:val="20"/>
        </w:rPr>
        <w:t xml:space="preserve">In the M2 inverted-U baseline specification (Table 2), the linear FSTS term is strongly positive (β = +3.464, SE = 0.902, p &lt; .001) and the quadratic FSTS² term is marginally negative (β = −2.059, SE = 1.082, p = .053). The implied apparent turning point lies at FSTS ≈ 84%, beyond most of the empirical FSTS distribution (only 3% of the sample exceeds 50% FSTS, and the 99th percentile is approximately 90%). The Lind and Mehlum (2010) joint U-test fails to reject the null of monotonicity (p = .301). Because the curvature is identified primarily from a sparsely populated right tail, we treat the apparent quadratic turning point as a descriptive feature of the within-sample fit rather than as a structurally identified inflection of the I–P relationship. Following Haans et al. (2016), we therefore characterize the I–P relationship as primarily monotonic positive with mild quadratic curvature rather than as a confirmed inverted-U, and we treat the curvature evidence as suggestive rather than as structurally identified. This finding qualifies the modal inverted-U pattern documented in earlier I–P literature (Marano et al., 2016) within the specific context of a digital-frontier economy: when cross-border coordination costs have been substantially attenuated by mature digital infrastructure, any right-side decline of the I–P curve is flattened or shifted to levels of export intensity that are sparsely represented in the observed sample.</w:t>
      </w:r>
    </w:p>
    <w:p>
      <w:pPr>
        <w:spacing w:after="160" w:before="280"/>
        <w:jc w:val="left"/>
      </w:pPr>
      <w:r>
        <w:rPr>
          <w:rFonts w:ascii="Times New Roman" w:cs="Times New Roman" w:eastAsia="Times New Roman" w:hAnsi="Times New Roman"/>
          <w:b/>
          <w:bCs/>
          <w:sz w:val="22"/>
          <w:szCs w:val="22"/>
        </w:rPr>
        <w:t xml:space="preserve">4.3 TCI direct effect supports H1; TCI moderation null supports H2</w:t>
      </w:r>
    </w:p>
    <w:p>
      <w:pPr>
        <w:spacing w:after="0" w:line="480" w:lineRule="auto"/>
        <w:ind w:firstLine="720"/>
        <w:jc w:val="both"/>
      </w:pPr>
      <w:r>
        <w:rPr>
          <w:rFonts w:ascii="Times New Roman" w:cs="Times New Roman" w:eastAsia="Times New Roman" w:hAnsi="Times New Roman"/>
          <w:sz w:val="20"/>
          <w:szCs w:val="20"/>
        </w:rPr>
        <w:t xml:space="preserve">In Model M5 (Table 2), TCI exerts a positive and strongly significant direct effect on labour productivity (β_z = 0.200, SE = 0.042, p &lt; .001), supporting H1. R² increases from .162 in M2 to .191 in M5. In Model M3, the TCI direct effect remains significant (β_z = 0.191, p &lt; .001), and the TCI moderation terms (FSTS × TCI and FSTS² × TCI) are jointly insignificant. The pattern is consistent with H2’s framing of TCI as a predominantly level-shift effect: the TCI direct coefficient and incremental R² in M3 (relative to M5) are several times larger than the contributions of the curvature-interaction terms, indicating that the bulk of the empirical action operates at the intercept rather than at the curvature. Because absence of moderation cannot be inferred from non-significance alone (Lakens et al., 2018), we frame this evidence as supporting an intercept-dominant interpretation of the TCI effect rather than as a definitive demonstration that curvature moderation is exactly zero. This pattern is consistent with the Rugman and Verbeke (2004) NLB-FSA recombinability prediction.</w:t>
      </w:r>
    </w:p>
    <w:p>
      <w:pPr>
        <w:spacing w:after="160" w:before="280"/>
        <w:jc w:val="left"/>
      </w:pPr>
      <w:r>
        <w:rPr>
          <w:rFonts w:ascii="Times New Roman" w:cs="Times New Roman" w:eastAsia="Times New Roman" w:hAnsi="Times New Roman"/>
          <w:b/>
          <w:bCs/>
          <w:sz w:val="22"/>
          <w:szCs w:val="22"/>
        </w:rPr>
        <w:t xml:space="preserve">4.4 DAI moderation: evidence concentrated in the high-export tail</w:t>
      </w:r>
    </w:p>
    <w:p>
      <w:pPr>
        <w:spacing w:after="0" w:line="480" w:lineRule="auto"/>
        <w:ind w:firstLine="720"/>
        <w:jc w:val="both"/>
      </w:pPr>
      <w:r>
        <w:rPr>
          <w:rFonts w:ascii="Times New Roman" w:cs="Times New Roman" w:eastAsia="Times New Roman" w:hAnsi="Times New Roman"/>
          <w:sz w:val="20"/>
          <w:szCs w:val="20"/>
        </w:rPr>
        <w:t xml:space="preserve">DAI exerts a significant direct effect on labour productivity in Model M6 (β_z = 0.117, SE = 0.037, p = .002), supporting the directional component of H3 and indicating that a one-standard-deviation increase in digital adoption is associated with a 0.117 increase in ln(labour productivity), approximately equivalent to an 11.7% higher labour productivity. When both TCI and DAI are included as direct effects in Model M7, the DAI coefficient attenuates but remains significant at the 5% level (β_z = 0.076, p = .049), suggesting partial overlap in the explanatory space captured by the two constructs. The attenuation is consistent with the conditional component of H3: a sizeable share of the unconditional DAI–productivity association reflects average-firm productivity heterogeneity that is also captured by TCI, with the genuinely DAI-specific premium expected to materialize primarily at higher levels of internationalization (formally tested in H4 below).</w:t>
      </w:r>
    </w:p>
    <w:p>
      <w:pPr>
        <w:spacing w:after="60" w:line="480" w:lineRule="auto"/>
        <w:jc w:val="left"/>
      </w:pPr>
      <w:r>
        <w:rPr>
          <w:rFonts w:ascii="Times New Roman" w:cs="Times New Roman" w:eastAsia="Times New Roman" w:hAnsi="Times New Roman"/>
          <w:b/>
          <w:bCs/>
          <w:sz w:val="20"/>
          <w:szCs w:val="20"/>
        </w:rPr>
        <w:t xml:space="preserve">Table 2. Hierarchical OLS regression results — Singapore 2023.</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in parentheses.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900"/>
        <w:gridCol w:w="900"/>
        <w:gridCol w:w="900"/>
        <w:gridCol w:w="900"/>
        <w:gridCol w:w="900"/>
        <w:gridCol w:w="900"/>
      </w:tblGrid>
      <w:tr>
        <w:tc>
          <w:tcPr>
            <w:tcW w:type="dxa" w:w="162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M0
Ctrl</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M2
Inv-U</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M5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M6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M7
T+D</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M3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M4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M8
Full</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2.797**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2.599**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2.445*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3.058**</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(1.092)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(1.430)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(1.101)</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(0.040)</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(0.770)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-1.279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(0.893)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2.972*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(1.284)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(1.309)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size (ln)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Constant</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Adj. 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p>
    <w:p>
      <w:pPr>
        <w:spacing w:after="0" w:line="480" w:lineRule="auto"/>
        <w:ind w:firstLine="720"/>
        <w:jc w:val="both"/>
      </w:pPr>
      <w:r>
        <w:rPr>
          <w:rFonts w:ascii="Times New Roman" w:cs="Times New Roman" w:eastAsia="Times New Roman" w:hAnsi="Times New Roman"/>
          <w:sz w:val="20"/>
          <w:szCs w:val="20"/>
        </w:rPr>
        <w:t xml:space="preserve">The moderation specification indicates that the productivity relevance of digital adoption varies across export intensity. In Model M4, the interaction block is jointly significant (F(2, 605) = 3.28, p = .039), and in the full Model M8 the quadratic interaction term remains positive and significant (FSTS² × DAI: β_z = +2.972, SE = 1.303, p = .023). Substantively, however, the evidence is concentrated in the upper export-intensity range, as Table 4 shows.</w:t>
      </w:r>
    </w:p>
    <w:p>
      <w:pPr>
        <w:spacing w:after="120" w:line="480" w:lineRule="auto"/>
        <w:jc w:val="left"/>
      </w:pPr>
      <w:r>
        <w:rPr>
          <w:rFonts w:ascii="Times New Roman" w:cs="Times New Roman" w:eastAsia="Times New Roman" w:hAnsi="Times New Roman"/>
          <w:b/>
          <w:bCs/>
          <w:sz w:val="20"/>
          <w:szCs w:val="20"/>
        </w:rPr>
        <w:t xml:space="preserve">Table 4. Marginal effects of DAI across selected FSTS levels (from Model M8).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 level</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Marginal effect of DAI</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p-value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95% CI</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0% (domestic)</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[-0.005, 0.151]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.728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[-0.120, 0.084]</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21% (trough)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0.107]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.756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[-0.255, 0.351]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0.687]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+0.653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[0.027, 1.293]</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+1.792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0.694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[0.458, 3.178]</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.01, * p &lt; .05, † p &lt; .10. Marginal effects computed at one-standard-deviation increase in DAI. SEs derived from the variance–covariance matrix of M8 using the delta method.</w:t>
      </w:r>
    </w:p>
    <w:p>
      <w:pPr>
        <w:spacing w:after="0" w:line="480" w:lineRule="auto"/>
        <w:ind w:firstLine="720"/>
        <w:jc w:val="both"/>
      </w:pPr>
      <w:r>
        <w:rPr>
          <w:rFonts w:ascii="Times New Roman" w:cs="Times New Roman" w:eastAsia="Times New Roman" w:hAnsi="Times New Roman"/>
          <w:sz w:val="20"/>
          <w:szCs w:val="2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+0.653, p = .040; FSTS = 100%: β = +1.792,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p>
    <w:p>
      <w:pPr>
        <w:spacing w:after="240" w:line="280" w:lineRule="auto"/>
        <w:jc w:val="center"/>
      </w:pPr>
      <w:r>
        <w:rPr>
          <w:rFonts w:ascii="Times New Roman" w:cs="Times New Roman" w:eastAsia="Times New Roman" w:hAnsi="Times New Roman"/>
          <w:i/>
          <w:iCs/>
          <w:sz w:val="18"/>
          <w:szCs w:val="18"/>
        </w:rPr>
        <w:t xml:space="preserve">Figure 2. Marginal effects of DAI across FSTS with 95% confidence interval bands.</w:t>
      </w:r>
    </w:p>
    <w:p>
      <w:pPr>
        <w:spacing w:after="240" w:line="280" w:lineRule="auto"/>
        <w:jc w:val="center"/>
      </w:pPr>
      <w:r>
        <w:rPr>
          <w:rFonts w:ascii="Times New Roman" w:cs="Times New Roman" w:eastAsia="Times New Roman" w:hAnsi="Times New Roman"/>
          <w:i/>
          <w:iCs/>
          <w:sz w:val="18"/>
          <w:szCs w:val="18"/>
        </w:rPr>
        <w:t xml:space="preserve">Figure 3. Predicted internationalization–performance curve with 95% confidence band.</w:t>
      </w:r>
    </w:p>
    <w:p>
      <w:pPr>
        <w:spacing w:after="160" w:before="280"/>
        <w:jc w:val="left"/>
      </w:pPr>
      <w:r>
        <w:rPr>
          <w:rFonts w:ascii="Times New Roman" w:cs="Times New Roman" w:eastAsia="Times New Roman" w:hAnsi="Times New Roman"/>
          <w:b/>
          <w:bCs/>
          <w:sz w:val="22"/>
          <w:szCs w:val="22"/>
        </w:rPr>
        <w:t xml:space="preserve">4.5 Robustness checks</w:t>
      </w:r>
    </w:p>
    <w:p>
      <w:pPr>
        <w:spacing w:after="0" w:line="480" w:lineRule="auto"/>
        <w:ind w:firstLine="720"/>
        <w:jc w:val="both"/>
      </w:pPr>
      <w:r>
        <w:rPr>
          <w:rFonts w:ascii="Times New Roman" w:cs="Times New Roman" w:eastAsia="Times New Roman" w:hAnsi="Times New Roman"/>
          <w:sz w:val="20"/>
          <w:szCs w:val="2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R1 specification, which restricts DAI to a single-indicator website-presence measure (c22b only), is intentionally constructed as a single-indicator website-presence measure to verify that the moderation pattern is not driven by the electronic-payment items in the DAI composite, following the construct-purity logic of separating TCI–DAI conceptual boundary that would arise from reliance on the electronic-payment indicators (k33, k38), thereby verifying that the moderation pattern is not driven by a single measurement component. The R1 result yields a weaker overall pattern than the baseline rich specification, but it preserves the same directional logic of conditional relevance, suggesting that the main result is not driven solely by the inclusion of electronic-payment indicators in the baseline DAI composite.</w:t>
      </w:r>
    </w:p>
    <w:p>
      <w:pPr>
        <w:spacing w:after="0" w:line="480" w:lineRule="auto"/>
        <w:ind w:firstLine="720"/>
        <w:jc w:val="both"/>
      </w:pPr>
      <w:r>
        <w:rPr>
          <w:rFonts w:ascii="Times New Roman" w:cs="Times New Roman" w:eastAsia="Times New Roman" w:hAnsi="Times New Roman"/>
          <w:sz w:val="20"/>
          <w:szCs w:val="2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Collectively, these six specifications serve as a sensitivity probe for whether the OLS estimates are driven by any single operational decision — the breadth of DAI, the breadth of TCI, the inclusion of micro-firms, an SME-only orientation, or exporter selection — and the persistence of the FSTS² × DAI sign across all six rows constitutes the strongest internal-stability check available within the cross-sectional WBES design. For the exporters-only subsample (R5; N = 84), however, the estimates are appreciably less stable: the adjusted R² falls to 0.140, the joint F is significant only at the .033 level, and the right tail of FSTS is sparsely populated. We therefore treat the high-export-intensity inferences drawn from the exporters-only subsample as suggestive rather than definitive, and rely on the full-sample specifications (M8 and R3–R4) for the central inferential claim.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(M7 → M8) is approximately 0.018, below Cohen’s (1988) conventional “small” threshold of 0.02 but consistent with typical magnitudes of moderation effects in organizational research (Aguinis et al., 2005).</w:t>
      </w:r>
    </w:p>
    <w:p>
      <w:pPr>
        <w:spacing w:after="60" w:line="480" w:lineRule="auto"/>
        <w:jc w:val="left"/>
      </w:pPr>
      <w:r>
        <w:rPr>
          <w:rFonts w:ascii="Times New Roman" w:cs="Times New Roman" w:eastAsia="Times New Roman" w:hAnsi="Times New Roman"/>
          <w:b/>
          <w:bCs/>
          <w:sz w:val="20"/>
          <w:szCs w:val="20"/>
        </w:rPr>
        <w:t xml:space="preserve">Table 3. Robustness checks for primary findings (six specifications).</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Each row reports a separate full-specification regression with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1300"/>
        <w:gridCol w:w="1300"/>
        <w:gridCol w:w="1500"/>
        <w:gridCol w:w="900"/>
      </w:tblGrid>
      <w:tr>
        <w:tc>
          <w:tcPr>
            <w:tcW w:type="dxa" w:w="27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Specification</w:t>
            </w:r>
          </w:p>
        </w:tc>
        <w:tc>
          <w:tcPr>
            <w:tcW w:type="dxa" w:w="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N</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TCI β_z</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FSTS² × DAI</w:t>
            </w:r>
          </w:p>
        </w:tc>
        <w:tc>
          <w:tcPr>
            <w:tcW w:type="dxa" w:w="15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Joint F (p)</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Adj. R²</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Baseline (TCI_full + DAI_rich)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3.38 (.035)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R1: DAI_thin (no k33)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1.70 (.184)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R2: TCI_thin (e6 + b8)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3.09 (.046)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R3: Excl micro-firms (&lt;10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4.70 (.010)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R4: SMEs only (≤200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595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3.483**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3.88 (.021)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R5: Exporters only (FSTS &gt; 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1.308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3.58 (.033)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0.102</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c22b only) for DAI_rich; this single-indicator specification verifies that the moderation pattern is not driven by the inclusion of electronic-payment indicators k33 and k38 in the baseline DAI composite. R2 uses TCI_thin (e6 + b8 only) instead of TCI_full. R3 excludes micro-firms with fewer than 10 employees. R4 restricts the sample to small and medium-sized enterprises with ≤ 200 employees. R5 restricts the sample to non-zero exporters (FSTS &gt; 0).</w:t>
      </w:r>
    </w:p>
    <w:p>
      <w:pPr>
        <w:spacing w:after="240" w:before="360"/>
        <w:jc w:val="left"/>
      </w:pPr>
      <w:r>
        <w:rPr>
          <w:rFonts w:ascii="Times New Roman" w:cs="Times New Roman" w:eastAsia="Times New Roman" w:hAnsi="Times New Roman"/>
          <w:b/>
          <w:bCs/>
          <w:sz w:val="24"/>
          <w:szCs w:val="24"/>
        </w:rPr>
        <w:t xml:space="preserve">5 Discussion</w:t>
      </w:r>
    </w:p>
    <w:p>
      <w:pPr>
        <w:spacing w:after="160" w:before="280"/>
        <w:jc w:val="left"/>
      </w:pPr>
      <w:r>
        <w:rPr>
          <w:rFonts w:ascii="Times New Roman" w:cs="Times New Roman" w:eastAsia="Times New Roman" w:hAnsi="Times New Roman"/>
          <w:b/>
          <w:bCs/>
          <w:sz w:val="22"/>
          <w:szCs w:val="22"/>
        </w:rPr>
        <w:t xml:space="preserve">5.1 Theoretical implications</w:t>
      </w:r>
    </w:p>
    <w:p>
      <w:pPr>
        <w:spacing w:after="0" w:line="480" w:lineRule="auto"/>
        <w:ind w:firstLine="720"/>
        <w:jc w:val="both"/>
      </w:pPr>
      <w:r>
        <w:rPr>
          <w:rFonts w:ascii="Times New Roman" w:cs="Times New Roman" w:eastAsia="Times New Roman" w:hAnsi="Times New Roman"/>
          <w:sz w:val="20"/>
          <w:szCs w:val="2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p>
    <w:p>
      <w:pPr>
        <w:spacing w:after="0" w:line="480" w:lineRule="auto"/>
        <w:ind w:firstLine="720"/>
        <w:jc w:val="both"/>
      </w:pPr>
      <w:r>
        <w:rPr>
          <w:rFonts w:ascii="Times New Roman" w:cs="Times New Roman" w:eastAsia="Times New Roman" w:hAnsi="Times New Roman"/>
          <w:sz w:val="20"/>
          <w:szCs w:val="20"/>
        </w:rPr>
        <w:t xml:space="preserve">Second, the present evidence qualifies rather than overturns the conventional inverted-U literature (Contractor et al., 2003; Hitt et al., 1997; Lu &amp; Beamish, 2004).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(Marano et al., 2016) need not generalize to digital-frontier institutional environments without explicit specification of the digital-infrastructure boundary under which it holds.</w:t>
      </w:r>
    </w:p>
    <w:p>
      <w:pPr>
        <w:spacing w:after="0" w:line="480" w:lineRule="auto"/>
        <w:ind w:firstLine="720"/>
        <w:jc w:val="both"/>
      </w:pPr>
      <w:r>
        <w:rPr>
          <w:rFonts w:ascii="Times New Roman" w:cs="Times New Roman" w:eastAsia="Times New Roman" w:hAnsi="Times New Roman"/>
          <w:sz w:val="20"/>
          <w:szCs w:val="2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p>
    <w:p>
      <w:pPr>
        <w:spacing w:after="160" w:before="280"/>
        <w:jc w:val="left"/>
      </w:pPr>
      <w:r>
        <w:rPr>
          <w:rFonts w:ascii="Times New Roman" w:cs="Times New Roman" w:eastAsia="Times New Roman" w:hAnsi="Times New Roman"/>
          <w:b/>
          <w:bCs/>
          <w:sz w:val="22"/>
          <w:szCs w:val="22"/>
        </w:rPr>
        <w:t xml:space="preserve">5.2 Managerial implications</w:t>
      </w:r>
    </w:p>
    <w:p>
      <w:pPr>
        <w:spacing w:after="0" w:line="480" w:lineRule="auto"/>
        <w:ind w:firstLine="720"/>
        <w:jc w:val="both"/>
      </w:pPr>
      <w:r>
        <w:rPr>
          <w:rFonts w:ascii="Times New Roman" w:cs="Times New Roman" w:eastAsia="Times New Roman" w:hAnsi="Times New Roman"/>
          <w:sz w:val="20"/>
          <w:szCs w:val="2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p>
    <w:p>
      <w:pPr>
        <w:spacing w:after="0" w:line="480" w:lineRule="auto"/>
        <w:ind w:firstLine="720"/>
        <w:jc w:val="both"/>
      </w:pPr>
      <w:r>
        <w:rPr>
          <w:rFonts w:ascii="Times New Roman" w:cs="Times New Roman" w:eastAsia="Times New Roman" w:hAnsi="Times New Roman"/>
          <w:sz w:val="20"/>
          <w:szCs w:val="2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p>
    <w:p>
      <w:pPr>
        <w:spacing w:after="0" w:line="480" w:lineRule="auto"/>
        <w:ind w:firstLine="720"/>
        <w:jc w:val="both"/>
      </w:pPr>
      <w:r>
        <w:rPr>
          <w:rFonts w:ascii="Times New Roman" w:cs="Times New Roman" w:eastAsia="Times New Roman" w:hAnsi="Times New Roman"/>
          <w:sz w:val="20"/>
          <w:szCs w:val="2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p>
    <w:p>
      <w:pPr>
        <w:spacing w:after="0" w:line="480" w:lineRule="auto"/>
        <w:ind w:firstLine="720"/>
        <w:jc w:val="both"/>
      </w:pPr>
      <w:r>
        <w:rPr>
          <w:rFonts w:ascii="Times New Roman" w:cs="Times New Roman" w:eastAsia="Times New Roman" w:hAnsi="Times New Roman"/>
          <w:sz w:val="20"/>
          <w:szCs w:val="2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p>
    <w:p>
      <w:pPr>
        <w:spacing w:after="240" w:before="360"/>
        <w:jc w:val="left"/>
      </w:pPr>
      <w:r>
        <w:rPr>
          <w:rFonts w:ascii="Times New Roman" w:cs="Times New Roman" w:eastAsia="Times New Roman" w:hAnsi="Times New Roman"/>
          <w:b/>
          <w:bCs/>
          <w:sz w:val="24"/>
          <w:szCs w:val="24"/>
        </w:rPr>
        <w:t xml:space="preserve">6 Limitations and Future Research</w:t>
      </w:r>
    </w:p>
    <w:p>
      <w:pPr>
        <w:spacing w:after="0" w:line="480" w:lineRule="auto"/>
        <w:ind w:firstLine="720"/>
        <w:jc w:val="both"/>
      </w:pPr>
      <w:r>
        <w:rPr>
          <w:rFonts w:ascii="Times New Roman" w:cs="Times New Roman" w:eastAsia="Times New Roman" w:hAnsi="Times New Roman"/>
          <w:sz w:val="20"/>
          <w:szCs w:val="20"/>
        </w:rPr>
        <w:t xml:space="preserve">Three limitations warrant explicit caution in interpreting the findings. First, the analysis is cross-sectional, and the identification strategy is therefore associational rather than causal (Antonakis et al., 2010; Shaver, 2020). The observed positive associations between TCI, DAI, internationalization, and labour productivity admit at least two non-causal interpretations consistent with the data. The first is productivity-driven self-selection into digital adoption: more productive firms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restrict interpretation to a boundary-condition claim — that the I–P curvature and the marginal value of digital adoption appear systematically conditional on export intensity in a digital-frontier setting (Meyer et al., 2017) — while leaving causal identification to designs we cannot implement here.</w:t>
      </w:r>
    </w:p>
    <w:p>
      <w:pPr>
        <w:spacing w:after="0" w:line="480" w:lineRule="auto"/>
        <w:ind w:firstLine="720"/>
        <w:jc w:val="both"/>
      </w:pPr>
      <w:r>
        <w:rPr>
          <w:rFonts w:ascii="Times New Roman" w:cs="Times New Roman" w:eastAsia="Times New Roman" w:hAnsi="Times New Roman"/>
          <w:sz w:val="20"/>
          <w:szCs w:val="2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Two specific consequences follow. First, the apparent quadratic turning point of the I–P curve at FSTS ≈ 83% is identified primarily from a sparsely populated region of the FSTS distribution and should therefore be treated as a within-sample descriptive feature rather than as a structurally identified inflection. Second, the DAI moderation pattern in Table 4 attains conventional significance only at FSTS = 70% and FSTS = 100%, and the exporters-only subsample (R5 in Table 3, N = 84) yields a substantially lower adjusted R² than the full-sample specifications. The scale-enabling-complement finding is therefore best characterized as suggestive evidence consistent with a digital-frontier boundary condition rather than as a structurally identified universal pattern. Replication on larger samples of high-intensity exporters from comparable digital-frontier economies — where the right tail of FSTS is denser and support-aware diagnostics can be applied more powerfully — would substantially strengthen the inference.</w:t>
      </w:r>
    </w:p>
    <w:p>
      <w:pPr>
        <w:spacing w:after="0" w:line="480" w:lineRule="auto"/>
        <w:ind w:firstLine="720"/>
        <w:jc w:val="both"/>
      </w:pPr>
      <w:r>
        <w:rPr>
          <w:rFonts w:ascii="Times New Roman" w:cs="Times New Roman" w:eastAsia="Times New Roman" w:hAnsi="Times New Roman"/>
          <w:sz w:val="20"/>
          <w:szCs w:val="2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The DAI indicators available in WBES 2023 capture Tier 1–2 digital adoption (digital presence and digital transaction usage) rather than Tier 3–4 digital capability or digital dynamic capability in the Verhoef et al. (2021) hierarchy; whether the scale-enabling-complement pattern persists, attenuates, or is amplified under richer measures of digitally integrated organizational capabilities is therefore an open empirical question. Future research should examine whether the same pattern appears in other digitally mature economies (e.g., Hong Kong, Republic of Korea, Taiwan) and under purpose-designed instruments that capture deeper digital dynamic capabilities (Verhoef et al., 2021).</w:t>
      </w:r>
    </w:p>
    <w:p>
      <w:pPr>
        <w:spacing w:after="0" w:line="480" w:lineRule="auto"/>
        <w:ind w:firstLine="720"/>
        <w:jc w:val="both"/>
      </w:pPr>
      <w:r>
        <w:rPr>
          <w:rFonts w:ascii="Times New Roman" w:cs="Times New Roman" w:eastAsia="Times New Roman" w:hAnsi="Times New Roman"/>
          <w:sz w:val="20"/>
          <w:szCs w:val="2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 Causal identification, in particular, would benefit from firm-level panel data — successive WBES waves, national statistical-office firm registers, or proprietary firm-level databases — that permit firm fixed-effects estimation, which partials out time-invariant unobserved firm heterogeneity such as founder ability and intangible-capital stocks. Where suitable instruments are available (e.g., regional digital-infrastructure rollouts or plausibly exogenous trade-policy shocks), instrumental-variable or difference-in-differences designs would further upgrade the present associational evidence to a causal identification (Antonakis et al., 2010; Shaver, 2020). These designs would directly test whether the boundary condition documented here — namely, that digital adoption operates as a scale-enabling complement at high export intensity in digital-frontier settings — is causally generated rather than reflecting selection on unobserved firm-level performance heterogeneity.</w:t>
      </w:r>
    </w:p>
    <w:p>
      <w:pPr>
        <w:pageBreakBefore/>
        <w:spacing w:after="240" w:before="360"/>
        <w:jc w:val="left"/>
      </w:pPr>
      <w:r>
        <w:rPr>
          <w:rFonts w:ascii="Times New Roman" w:cs="Times New Roman" w:eastAsia="Times New Roman" w:hAnsi="Times New Roman"/>
          <w:b/>
          <w:bCs/>
          <w:sz w:val="24"/>
          <w:szCs w:val="24"/>
        </w:rPr>
        <w:t xml:space="preserve">References</w:t>
      </w:r>
    </w:p>
    <w:p>
      <w:pPr>
        <w:spacing w:after="60" w:line="360" w:lineRule="auto"/>
        <w:ind w:left="720" w:hanging="720"/>
        <w:jc w:val="left"/>
      </w:pPr>
      <w:r>
        <w:rPr>
          <w:rFonts w:ascii="Times New Roman" w:cs="Times New Roman" w:eastAsia="Times New Roman" w:hAnsi="Times New Roman"/>
          <w:sz w:val="20"/>
          <w:szCs w:val="20"/>
        </w:rPr>
        <w:t xml:space="preserve">Aguinis, H., Beaty, J. C., Boik, R. J., &amp; Pierce, C. A. (2005). Effect size and power in assessing moderating effects of categorical variables using multiple regression: A 30-year review. Journal of Applied Psychology, 90(1), 94–107. https://doi.org/10.1037/0021-9010.90.1.94</w:t>
      </w:r>
    </w:p>
    <w:p>
      <w:pPr>
        <w:spacing w:after="60" w:line="360" w:lineRule="auto"/>
        <w:ind w:left="720" w:hanging="720"/>
        <w:jc w:val="left"/>
      </w:pPr>
      <w:r>
        <w:rPr>
          <w:rFonts w:ascii="Times New Roman" w:cs="Times New Roman" w:eastAsia="Times New Roman" w:hAnsi="Times New Roman"/>
          <w:sz w:val="20"/>
          <w:szCs w:val="20"/>
        </w:rPr>
        <w:t xml:space="preserve">Aiken, L. S., &amp; West, S. G. (1991). Multiple regression: Testing and interpreting interactions. Sage.</w:t>
      </w:r>
    </w:p>
    <w:p>
      <w:pPr>
        <w:spacing w:after="60" w:line="360" w:lineRule="auto"/>
        <w:ind w:left="720" w:hanging="720"/>
        <w:jc w:val="left"/>
      </w:pPr>
      <w:r>
        <w:rPr>
          <w:rFonts w:ascii="Times New Roman" w:cs="Times New Roman" w:eastAsia="Times New Roman" w:hAnsi="Times New Roman"/>
          <w:sz w:val="20"/>
          <w:szCs w:val="20"/>
        </w:rPr>
        <w:t xml:space="preserve">Antonakis, J., Bendahan, S., Jacquart, P., &amp; Lalive, R. (2010). On making causal claims: A review and recommendations. The Leadership Quarterly, 21(6), 1086–1120. https://doi.org/10.1016/j.leaqua.2010.10.010</w:t>
      </w:r>
    </w:p>
    <w:p>
      <w:pPr>
        <w:spacing w:after="60" w:line="360" w:lineRule="auto"/>
        <w:ind w:left="720" w:hanging="720"/>
        <w:jc w:val="left"/>
      </w:pPr>
      <w:r>
        <w:rPr>
          <w:rFonts w:ascii="Times New Roman" w:cs="Times New Roman" w:eastAsia="Times New Roman" w:hAnsi="Times New Roman"/>
          <w:sz w:val="20"/>
          <w:szCs w:val="20"/>
        </w:rPr>
        <w:t xml:space="preserve">Avenyo, E. K., Tregenna, F., &amp; Kraemer-Mbula, E. (2021). Do productive capabilities affect export performance? Microeconomic evidence from sub-Saharan Africa. European Journal of Development Research, 33(2), 304–329. https://doi.org/10.1057/s41287-020-00328-2</w:t>
      </w:r>
    </w:p>
    <w:p>
      <w:pPr>
        <w:spacing w:after="60" w:line="360" w:lineRule="auto"/>
        <w:ind w:left="720" w:hanging="720"/>
        <w:jc w:val="left"/>
      </w:pPr>
      <w:r>
        <w:rPr>
          <w:rFonts w:ascii="Times New Roman" w:cs="Times New Roman" w:eastAsia="Times New Roman" w:hAnsi="Times New Roman"/>
          <w:sz w:val="20"/>
          <w:szCs w:val="20"/>
        </w:rPr>
        <w:t xml:space="preserve">Banalieva, E. R., &amp; Dhanaraj, C. (2019). Internalization theory for the digital economy. Journal of International Business Studies, 50(8), 1372–1387. https://doi.org/10.1057/s41267-019-00243-7</w:t>
      </w:r>
    </w:p>
    <w:p>
      <w:pPr>
        <w:spacing w:after="60" w:line="360" w:lineRule="auto"/>
        <w:ind w:left="720" w:hanging="720"/>
        <w:jc w:val="left"/>
      </w:pPr>
      <w:r>
        <w:rPr>
          <w:rFonts w:ascii="Times New Roman" w:cs="Times New Roman" w:eastAsia="Times New Roman" w:hAnsi="Times New Roman"/>
          <w:sz w:val="20"/>
          <w:szCs w:val="20"/>
        </w:rPr>
        <w:t xml:space="preserve">Barney, J. (1991). Firm resources and sustained competitive advantage. Journal of Management, 17(1), 99–120. https://doi.org/10.1177/014920639101700108</w:t>
      </w:r>
    </w:p>
    <w:p>
      <w:pPr>
        <w:spacing w:after="60" w:line="360" w:lineRule="auto"/>
        <w:ind w:left="720" w:hanging="720"/>
        <w:jc w:val="left"/>
      </w:pPr>
      <w:r>
        <w:rPr>
          <w:rFonts w:ascii="Times New Roman" w:cs="Times New Roman" w:eastAsia="Times New Roman" w:hAnsi="Times New Roman"/>
          <w:sz w:val="20"/>
          <w:szCs w:val="20"/>
        </w:rPr>
        <w:t xml:space="preserve">Bharadwaj, A., El Sawy, O. A., Pavlou, P. A., &amp; Venkatraman, N. (2013). Digital business strategy: Toward a next generation of insights. MIS Quarterly, 37(2), 471–482. https://doi.org/10.25300/MISQ/2013/37:2.3</w:t>
      </w:r>
    </w:p>
    <w:p>
      <w:pPr>
        <w:spacing w:after="60" w:line="360" w:lineRule="auto"/>
        <w:ind w:left="720" w:hanging="720"/>
        <w:jc w:val="left"/>
      </w:pPr>
      <w:r>
        <w:rPr>
          <w:rFonts w:ascii="Times New Roman" w:cs="Times New Roman" w:eastAsia="Times New Roman" w:hAnsi="Times New Roman"/>
          <w:sz w:val="20"/>
          <w:szCs w:val="20"/>
        </w:rPr>
        <w:t xml:space="preserve">Brynjolfsson, E., Rock, D., &amp; Syverson, C. (2021). The productivity J-curve: How intangibles complement general purpose technologies. American Economic Journal: Macroeconomics, 13(1), 333–372. https://doi.org/10.1257/mac.20180386</w:t>
      </w:r>
    </w:p>
    <w:p>
      <w:pPr>
        <w:spacing w:after="60" w:line="360" w:lineRule="auto"/>
        <w:ind w:left="720" w:hanging="720"/>
        <w:jc w:val="left"/>
      </w:pPr>
      <w:r>
        <w:rPr>
          <w:rFonts w:ascii="Times New Roman" w:cs="Times New Roman" w:eastAsia="Times New Roman" w:hAnsi="Times New Roman"/>
          <w:sz w:val="20"/>
          <w:szCs w:val="20"/>
        </w:rPr>
        <w:t xml:space="preserve">Cohen, J. (1988). Statistical power analysis for the behavioral sciences (2nd ed.). Lawrence Erlbaum.</w:t>
      </w:r>
    </w:p>
    <w:p>
      <w:pPr>
        <w:spacing w:after="60" w:line="360" w:lineRule="auto"/>
        <w:ind w:left="720" w:hanging="720"/>
        <w:jc w:val="left"/>
      </w:pPr>
      <w:r>
        <w:rPr>
          <w:rFonts w:ascii="Times New Roman" w:cs="Times New Roman" w:eastAsia="Times New Roman" w:hAnsi="Times New Roman"/>
          <w:sz w:val="20"/>
          <w:szCs w:val="20"/>
        </w:rPr>
        <w:t xml:space="preserve">Cohen, W. M., &amp; Levinthal, D. A. (1990). Absorptive capacity: A new perspective on learning and innovation. Administrative Science Quarterly, 35(1), 128–152. https://doi.org/10.2307/2393553</w:t>
      </w:r>
    </w:p>
    <w:p>
      <w:pPr>
        <w:spacing w:after="60" w:line="360" w:lineRule="auto"/>
        <w:ind w:left="720" w:hanging="720"/>
        <w:jc w:val="left"/>
      </w:pPr>
      <w:r>
        <w:rPr>
          <w:rFonts w:ascii="Times New Roman" w:cs="Times New Roman" w:eastAsia="Times New Roman" w:hAnsi="Times New Roman"/>
          <w:sz w:val="20"/>
          <w:szCs w:val="20"/>
        </w:rPr>
        <w:t xml:space="preserve">Coltman, T., Devinney, T. M., Midgley, D. F., &amp; Venaik, S. (2008). Formative versus reflective measurement models: Two applications of formative measurement. Journal of Business Research, 61(12), 1250–1262. https://doi.org/10.1016/j.jbusres.2008.01.013</w:t>
      </w:r>
    </w:p>
    <w:p>
      <w:pPr>
        <w:spacing w:after="60" w:line="360" w:lineRule="auto"/>
        <w:ind w:left="720" w:hanging="720"/>
        <w:jc w:val="left"/>
      </w:pPr>
      <w:r>
        <w:rPr>
          <w:rFonts w:ascii="Times New Roman" w:cs="Times New Roman" w:eastAsia="Times New Roman" w:hAnsi="Times New Roman"/>
          <w:sz w:val="20"/>
          <w:szCs w:val="20"/>
        </w:rPr>
        <w:t xml:space="preserve">Contractor, F. J. (2007). Is international business good for companies? The evolutionary or multi-stage theory of internationalization vs. the transaction cost perspective. Management International Review, 47(3), 453–475. https://doi.org/10.1007/s11575-007-0024-2</w:t>
      </w:r>
    </w:p>
    <w:p>
      <w:pPr>
        <w:spacing w:after="60" w:line="360" w:lineRule="auto"/>
        <w:ind w:left="720" w:hanging="720"/>
        <w:jc w:val="left"/>
      </w:pPr>
      <w:r>
        <w:rPr>
          <w:rFonts w:ascii="Times New Roman" w:cs="Times New Roman" w:eastAsia="Times New Roman" w:hAnsi="Times New Roman"/>
          <w:sz w:val="20"/>
          <w:szCs w:val="20"/>
        </w:rPr>
        <w:t xml:space="preserve">Contractor, F. J., Kundu, S. K., &amp; Hsu, C.-C. (2003). A three-stage theory of international expansion: The link between multinationality and performance in the service sector. Journal of International Business Studies, 34(1), 5–18. https://doi.org/10.1057/palgrave.jibs.8400003</w:t>
      </w:r>
    </w:p>
    <w:p>
      <w:pPr>
        <w:spacing w:after="60" w:line="360" w:lineRule="auto"/>
        <w:ind w:left="720" w:hanging="720"/>
        <w:jc w:val="left"/>
      </w:pPr>
      <w:r>
        <w:rPr>
          <w:rFonts w:ascii="Times New Roman" w:cs="Times New Roman" w:eastAsia="Times New Roman" w:hAnsi="Times New Roman"/>
          <w:sz w:val="20"/>
          <w:szCs w:val="20"/>
        </w:rPr>
        <w:t xml:space="preserve">Haans, R. F. J., Pieters, C., &amp; He, Z.-L. (2016). Thinking about U: Theorizing and testing U- and inverted U-shaped relationships in strategy research. Strategic Management Journal, 37(7), 1177–1195. https://doi.org/10.1002/smj.2399</w:t>
      </w:r>
    </w:p>
    <w:p>
      <w:pPr>
        <w:spacing w:after="60" w:line="360" w:lineRule="auto"/>
        <w:ind w:left="720" w:hanging="720"/>
        <w:jc w:val="left"/>
      </w:pPr>
      <w:r>
        <w:rPr>
          <w:rFonts w:ascii="Times New Roman" w:cs="Times New Roman" w:eastAsia="Times New Roman" w:hAnsi="Times New Roman"/>
          <w:sz w:val="20"/>
          <w:szCs w:val="20"/>
        </w:rPr>
        <w:t xml:space="preserve">Hambrick, D. C., &amp; Mason, P. A. (1984). Upper echelons: The organization as a reflection of its top managers. Academy of Management Review, 9(2), 193–206. https://doi.org/10.5465/amr.1984.4277628</w:t>
      </w:r>
    </w:p>
    <w:p>
      <w:pPr>
        <w:spacing w:after="60" w:line="360" w:lineRule="auto"/>
        <w:ind w:left="720" w:hanging="720"/>
        <w:jc w:val="left"/>
      </w:pPr>
      <w:r>
        <w:rPr>
          <w:rFonts w:ascii="Times New Roman" w:cs="Times New Roman" w:eastAsia="Times New Roman" w:hAnsi="Times New Roman"/>
          <w:sz w:val="20"/>
          <w:szCs w:val="20"/>
        </w:rPr>
        <w:t xml:space="preserve">Hitt, M. A., Hoskisson, R. E., &amp; Kim, H. (1997). International diversification: Effects on innovation and firm performance in product-diversified firms. Academy of Management Journal, 40(4), 767–798. https://doi.org/10.5465/256948</w:t>
      </w:r>
    </w:p>
    <w:p>
      <w:pPr>
        <w:spacing w:after="60" w:line="360" w:lineRule="auto"/>
        <w:ind w:left="720" w:hanging="720"/>
        <w:jc w:val="left"/>
      </w:pPr>
      <w:r>
        <w:rPr>
          <w:rFonts w:ascii="Times New Roman" w:cs="Times New Roman" w:eastAsia="Times New Roman" w:hAnsi="Times New Roman"/>
          <w:sz w:val="20"/>
          <w:szCs w:val="20"/>
        </w:rPr>
        <w:t xml:space="preserve">Krammer, S. M. S., Strange, R., &amp; Lashitew, A. (2018). The export performance of emerging economy firms. International Business Review, 27(1), 218–230. https://doi.org/10.1016/j.ibusrev.2017.07.003</w:t>
      </w:r>
    </w:p>
    <w:p>
      <w:pPr>
        <w:spacing w:after="60" w:line="360" w:lineRule="auto"/>
        <w:ind w:left="720" w:hanging="720"/>
        <w:jc w:val="left"/>
      </w:pPr>
      <w:r>
        <w:rPr>
          <w:rFonts w:ascii="Times New Roman" w:cs="Times New Roman" w:eastAsia="Times New Roman" w:hAnsi="Times New Roman"/>
          <w:sz w:val="20"/>
          <w:szCs w:val="20"/>
        </w:rPr>
        <w:t xml:space="preserve">Lakens, D., Scheel, A. M., &amp; Isager, P. M. (2018). Equivalence testing for psychological research: A tutorial. Advances in Methods and Practices in Psychological Science, 1(2), 259–269. https://doi.org/10.1177/2515245918770963</w:t>
      </w:r>
    </w:p>
    <w:p>
      <w:pPr>
        <w:spacing w:after="60" w:line="360" w:lineRule="auto"/>
        <w:ind w:left="720" w:hanging="720"/>
        <w:jc w:val="left"/>
      </w:pPr>
      <w:r>
        <w:rPr>
          <w:rFonts w:ascii="Times New Roman" w:cs="Times New Roman" w:eastAsia="Times New Roman" w:hAnsi="Times New Roman"/>
          <w:sz w:val="20"/>
          <w:szCs w:val="20"/>
        </w:rPr>
        <w:t xml:space="preserve">Lall, S. (1992). Technological capabilities and industrialization. World Development, 20(2), 165–186. https://doi.org/10.1016/0305-750X(92)90097-F</w:t>
      </w:r>
    </w:p>
    <w:p>
      <w:pPr>
        <w:spacing w:after="60" w:line="360" w:lineRule="auto"/>
        <w:ind w:left="720" w:hanging="720"/>
        <w:jc w:val="left"/>
      </w:pPr>
      <w:r>
        <w:rPr>
          <w:rFonts w:ascii="Times New Roman" w:cs="Times New Roman" w:eastAsia="Times New Roman" w:hAnsi="Times New Roman"/>
          <w:sz w:val="20"/>
          <w:szCs w:val="20"/>
        </w:rPr>
        <w:t xml:space="preserve">Lind, J. T., &amp; Mehlum, H. (2010). With or without U? The appropriate test for a U-shaped relationship. Oxford Bulletin of Economics and Statistics, 72(1), 109–118. https://doi.org/10.1111/j.1468-0084.2009.00569.x</w:t>
      </w:r>
    </w:p>
    <w:p>
      <w:pPr>
        <w:spacing w:after="60" w:line="360" w:lineRule="auto"/>
        <w:ind w:left="720" w:hanging="720"/>
        <w:jc w:val="left"/>
      </w:pPr>
      <w:r>
        <w:rPr>
          <w:rFonts w:ascii="Times New Roman" w:cs="Times New Roman" w:eastAsia="Times New Roman" w:hAnsi="Times New Roman"/>
          <w:sz w:val="20"/>
          <w:szCs w:val="20"/>
        </w:rPr>
        <w:t xml:space="preserve">Lu, J. W., &amp; Beamish, P. W. (2004). International diversification and firm performance: The S-curve hypothesis. Academy of Management Journal, 47(4), 598–609. https://doi.org/10.5465/20159604</w:t>
      </w:r>
    </w:p>
    <w:p>
      <w:pPr>
        <w:spacing w:after="60" w:line="360" w:lineRule="auto"/>
        <w:ind w:left="720" w:hanging="720"/>
        <w:jc w:val="left"/>
      </w:pPr>
      <w:r>
        <w:rPr>
          <w:rFonts w:ascii="Times New Roman" w:cs="Times New Roman" w:eastAsia="Times New Roman" w:hAnsi="Times New Roman"/>
          <w:sz w:val="20"/>
          <w:szCs w:val="20"/>
        </w:rPr>
        <w:t xml:space="preserve">MacKinnon, J. G., &amp; White, H. (1985). Some heteroskedasticity-consistent covariance matrix estimators with improved finite sample properties. Journal of Econometrics, 29(3), 305–325. https://doi.org/10.1016/0304-4076(85)90158-7</w:t>
      </w:r>
    </w:p>
    <w:p>
      <w:pPr>
        <w:spacing w:after="60" w:line="360" w:lineRule="auto"/>
        <w:ind w:left="720" w:hanging="720"/>
        <w:jc w:val="left"/>
      </w:pPr>
      <w:r>
        <w:rPr>
          <w:rFonts w:ascii="Times New Roman" w:cs="Times New Roman" w:eastAsia="Times New Roman" w:hAnsi="Times New Roman"/>
          <w:sz w:val="20"/>
          <w:szCs w:val="20"/>
        </w:rPr>
        <w:t xml:space="preserve">Marano, V., Arregle, J.-L., Hitt, M. A., Spadafora, E., &amp; van Essen, M. (2016). Home country institutions and the internationalization-performance relationship: A meta-analytic review. Journal of Management, 42(5), 1075–1110. https://doi.org/10.1177/0149206315608961</w:t>
      </w:r>
    </w:p>
    <w:p>
      <w:pPr>
        <w:spacing w:after="60" w:line="360" w:lineRule="auto"/>
        <w:ind w:left="720" w:hanging="720"/>
        <w:jc w:val="left"/>
      </w:pPr>
      <w:r>
        <w:rPr>
          <w:rFonts w:ascii="Times New Roman" w:cs="Times New Roman" w:eastAsia="Times New Roman" w:hAnsi="Times New Roman"/>
          <w:sz w:val="20"/>
          <w:szCs w:val="20"/>
        </w:rPr>
        <w:t xml:space="preserve">Meyer, K. E., van Witteloostuijn, A., &amp; Beugelsdijk, S. (2017). What’s in a p? Reassessing best practices for conducting and reporting hypothesis-testing research. Journal of International Business Studies, 48(5), 535–551. https://doi.org/10.1057/s41267-017-0078-8</w:t>
      </w:r>
    </w:p>
    <w:p>
      <w:pPr>
        <w:spacing w:after="60" w:line="360" w:lineRule="auto"/>
        <w:ind w:left="720" w:hanging="720"/>
        <w:jc w:val="left"/>
      </w:pPr>
      <w:r>
        <w:rPr>
          <w:rFonts w:ascii="Times New Roman" w:cs="Times New Roman" w:eastAsia="Times New Roman" w:hAnsi="Times New Roman"/>
          <w:sz w:val="20"/>
          <w:szCs w:val="20"/>
        </w:rPr>
        <w:t xml:space="preserve">O'Brien, R. M. (2007). A caution regarding rules of thumb for variance inflation factors. Quality &amp; Quantity, 41(5), 673–690. https://doi.org/10.1007/s11135-006-9018-6</w:t>
      </w:r>
    </w:p>
    <w:p>
      <w:pPr>
        <w:spacing w:after="60" w:line="360" w:lineRule="auto"/>
        <w:ind w:left="720" w:hanging="720"/>
        <w:jc w:val="left"/>
      </w:pPr>
      <w:r>
        <w:rPr>
          <w:rFonts w:ascii="Times New Roman" w:cs="Times New Roman" w:eastAsia="Times New Roman" w:hAnsi="Times New Roman"/>
          <w:sz w:val="20"/>
          <w:szCs w:val="20"/>
        </w:rPr>
        <w:t xml:space="preserve">Peng, M. W. (2003). Institutional transitions and strategic choices. Academy of Management Review, 28(2), 275–296. https://doi.org/10.5465/amr.2003.9416341</w:t>
      </w:r>
    </w:p>
    <w:p>
      <w:pPr>
        <w:spacing w:after="60" w:line="360" w:lineRule="auto"/>
        <w:ind w:left="720" w:hanging="720"/>
        <w:jc w:val="left"/>
      </w:pPr>
      <w:r>
        <w:rPr>
          <w:rFonts w:ascii="Times New Roman" w:cs="Times New Roman" w:eastAsia="Times New Roman" w:hAnsi="Times New Roman"/>
          <w:sz w:val="20"/>
          <w:szCs w:val="20"/>
        </w:rPr>
        <w:t xml:space="preserve">Peng, M. W., Wang, D. Y. L., &amp; Jiang, Y. (2008). An institution-based view of international business strategy: A focus on emerging economies. Journal of International Business Studies, 39(5), 920–936. https://doi.org/10.1057/palgrave.jibs.8400377</w:t>
      </w:r>
    </w:p>
    <w:p>
      <w:pPr>
        <w:spacing w:after="60" w:line="360" w:lineRule="auto"/>
        <w:ind w:left="720" w:hanging="720"/>
        <w:jc w:val="left"/>
      </w:pPr>
      <w:r>
        <w:rPr>
          <w:rFonts w:ascii="Times New Roman" w:cs="Times New Roman" w:eastAsia="Times New Roman" w:hAnsi="Times New Roman"/>
          <w:sz w:val="20"/>
          <w:szCs w:val="20"/>
        </w:rPr>
        <w:t xml:space="preserve">Rugman, A. M., &amp; Verbeke, A. (2004). A perspective on regional and global strategies of multinational enterprises. Journal of International Business Studies, 35(1), 3–18. https://doi.org/10.1057/palgrave.jibs.8400073</w:t>
      </w:r>
    </w:p>
    <w:p>
      <w:pPr>
        <w:spacing w:after="60" w:line="360" w:lineRule="auto"/>
        <w:ind w:left="720" w:hanging="720"/>
        <w:jc w:val="left"/>
      </w:pPr>
      <w:r>
        <w:rPr>
          <w:rFonts w:ascii="Times New Roman" w:cs="Times New Roman" w:eastAsia="Times New Roman" w:hAnsi="Times New Roman"/>
          <w:sz w:val="20"/>
          <w:szCs w:val="20"/>
        </w:rPr>
        <w:t xml:space="preserve">Shaver, J. M. (2020). Causal identification through a cumulative body of research in the study of strategy and organizations. Journal of Management, 46(7), 1244–1256. https://doi.org/10.1177/0149206319846272</w:t>
      </w:r>
    </w:p>
    <w:p>
      <w:pPr>
        <w:spacing w:after="60" w:line="360" w:lineRule="auto"/>
        <w:ind w:left="720" w:hanging="720"/>
        <w:jc w:val="left"/>
      </w:pPr>
      <w:r>
        <w:rPr>
          <w:rFonts w:ascii="Times New Roman" w:cs="Times New Roman" w:eastAsia="Times New Roman" w:hAnsi="Times New Roman"/>
          <w:sz w:val="20"/>
          <w:szCs w:val="20"/>
        </w:rPr>
        <w:t xml:space="preserve">Stallkamp, M., &amp; Schotter, A. P. J. (2021). Platforms without borders? The international strategies of digital platform firms. Global Strategy Journal, 11(1), 58–80. https://doi.org/10.1002/gsj.1336</w:t>
      </w:r>
    </w:p>
    <w:p>
      <w:pPr>
        <w:spacing w:after="60" w:line="360" w:lineRule="auto"/>
        <w:ind w:left="720" w:hanging="720"/>
        <w:jc w:val="left"/>
      </w:pPr>
      <w:r>
        <w:rPr>
          <w:rFonts w:ascii="Times New Roman" w:cs="Times New Roman" w:eastAsia="Times New Roman" w:hAnsi="Times New Roman"/>
          <w:sz w:val="20"/>
          <w:szCs w:val="20"/>
        </w:rPr>
        <w:t xml:space="preserve">Verhoef, P. C., Broekhuizen, T., Bart, Y., Bhattacharya, A., Dong, J. Q., Fabian, N., &amp; Haenlein, M. (2021). Digital transformation: A multidisciplinary reflection and research agenda. Journal of Business Research, 122, 889–901. https://doi.org/10.1016/j.jbusres.2019.09.022</w:t>
      </w:r>
    </w:p>
    <w:p>
      <w:pPr>
        <w:spacing w:after="60" w:line="360" w:lineRule="auto"/>
        <w:ind w:left="720" w:hanging="720"/>
        <w:jc w:val="left"/>
      </w:pPr>
      <w:r>
        <w:rPr>
          <w:rFonts w:ascii="Times New Roman" w:cs="Times New Roman" w:eastAsia="Times New Roman" w:hAnsi="Times New Roman"/>
          <w:sz w:val="20"/>
          <w:szCs w:val="20"/>
        </w:rPr>
        <w:t xml:space="preserve">Wolfolds, S. E., &amp; Siegel, J. (2019). Misaccounting for endogeneity: The peril of relying on the Heckman two-step method without a valid instrument. Strategic Management Journal, 40(3), 432–462. https://doi.org/10.1002/smj.2995</w:t>
      </w:r>
    </w:p>
    <w:p>
      <w:pPr>
        <w:spacing w:after="60" w:line="360" w:lineRule="auto"/>
        <w:ind w:left="720" w:hanging="720"/>
        <w:jc w:val="left"/>
      </w:pPr>
      <w:r>
        <w:rPr>
          <w:rFonts w:ascii="Times New Roman" w:cs="Times New Roman" w:eastAsia="Times New Roman" w:hAnsi="Times New Roman"/>
          <w:sz w:val="20"/>
          <w:szCs w:val="20"/>
        </w:rPr>
        <w:t xml:space="preserve">World Bank. (2024). World Bank Enterprise Survey: Singapore 2023. https://www.enterprisesurveys.org</w:t>
      </w:r>
    </w:p>
    <w:p>
      <w:r>
        <w:br w:type="page"/>
      </w:r>
    </w:p>
    <w:p>
      <w:pPr>
        <w:jc w:val="center"/>
      </w:pPr>
      <w:r>
        <w:drawing>
          <wp:inline xmlns:a="http://schemas.openxmlformats.org/drawingml/2006/main" xmlns:pic="http://schemas.openxmlformats.org/drawingml/2006/picture">
            <wp:extent cx="5029200" cy="3351857"/>
            <wp:docPr id="2" name="Picture 2"/>
            <wp:cNvGraphicFramePr>
              <a:graphicFrameLocks noChangeAspect="1"/>
            </wp:cNvGraphicFramePr>
            <a:graphic>
              <a:graphicData uri="http://schemas.openxmlformats.org/drawingml/2006/picture">
                <pic:pic>
                  <pic:nvPicPr>
                    <pic:cNvPr id="0" name="019dd435-Figure1_Conceptual_Model4.png"/>
                    <pic:cNvPicPr/>
                  </pic:nvPicPr>
                  <pic:blipFill>
                    <a:blip r:embed="rId7"/>
                    <a:stretch>
                      <a:fillRect/>
                    </a:stretch>
                  </pic:blipFill>
                  <pic:spPr>
                    <a:xfrm>
                      <a:off x="0" y="0"/>
                      <a:ext cx="5029200" cy="3351857"/>
                    </a:xfrm>
                    <a:prstGeom prst="rect"/>
                  </pic:spPr>
                </pic:pic>
              </a:graphicData>
            </a:graphic>
          </wp:inline>
        </w:drawing>
      </w:r>
    </w:p>
    <w:p>
      <w:pPr>
        <w:jc w:val="center"/>
      </w:pPr>
      <w:r>
        <w:rPr>
          <w:rFonts w:ascii="Times New Roman" w:hAnsi="Times New Roman"/>
          <w:i/>
          <w:sz w:val="18"/>
        </w:rPr>
        <w:t>Figure 1. Conceptual model: Technological capability, digital adoption, and the internationalization–performance relationship.</w:t>
      </w:r>
    </w:p>
    <w:p>
      <w:r>
        <w:br w:type="page"/>
      </w:r>
    </w:p>
    <w:p>
      <w:pPr>
        <w:jc w:val="center"/>
      </w:pPr>
      <w:r>
        <w:drawing>
          <wp:inline xmlns:a="http://schemas.openxmlformats.org/drawingml/2006/main" xmlns:pic="http://schemas.openxmlformats.org/drawingml/2006/picture">
            <wp:extent cx="5029200" cy="3544736"/>
            <wp:docPr id="3" name="Picture 3"/>
            <wp:cNvGraphicFramePr>
              <a:graphicFrameLocks noChangeAspect="1"/>
            </wp:cNvGraphicFramePr>
            <a:graphic>
              <a:graphicData uri="http://schemas.openxmlformats.org/drawingml/2006/picture">
                <pic:pic>
                  <pic:nvPicPr>
                    <pic:cNvPr id="0" name="Figure1_DAI_Marginal_Effects.png"/>
                    <pic:cNvPicPr/>
                  </pic:nvPicPr>
                  <pic:blipFill>
                    <a:blip r:embed="rId9"/>
                    <a:stretch>
                      <a:fillRect/>
                    </a:stretch>
                  </pic:blipFill>
                  <pic:spPr>
                    <a:xfrm>
                      <a:off x="0" y="0"/>
                      <a:ext cx="5029200" cy="3544736"/>
                    </a:xfrm>
                    <a:prstGeom prst="rect"/>
                  </pic:spPr>
                </pic:pic>
              </a:graphicData>
            </a:graphic>
          </wp:inline>
        </w:drawing>
      </w:r>
    </w:p>
    <w:p>
      <w:pPr>
        <w:jc w:val="center"/>
      </w:pPr>
      <w:r>
        <w:rPr>
          <w:rFonts w:ascii="Times New Roman" w:hAnsi="Times New Roman"/>
          <w:i/>
          <w:sz w:val="18"/>
        </w:rPr>
        <w:t>Figure 2. Marginal effects of DAI across FSTS with 95% confidence interval bands.</w:t>
      </w:r>
    </w:p>
    <w:p>
      <w:r>
        <w:br w:type="page"/>
      </w:r>
    </w:p>
    <w:p>
      <w:pPr>
        <w:jc w:val="center"/>
      </w:pPr>
      <w:r>
        <w:drawing>
          <wp:inline xmlns:a="http://schemas.openxmlformats.org/drawingml/2006/main" xmlns:pic="http://schemas.openxmlformats.org/drawingml/2006/picture">
            <wp:extent cx="5029200" cy="3546449"/>
            <wp:docPr id="4" name="Picture 4"/>
            <wp:cNvGraphicFramePr>
              <a:graphicFrameLocks noChangeAspect="1"/>
            </wp:cNvGraphicFramePr>
            <a:graphic>
              <a:graphicData uri="http://schemas.openxmlformats.org/drawingml/2006/picture">
                <pic:pic>
                  <pic:nvPicPr>
                    <pic:cNvPr id="0" name="Figure2_IP_Curve.png"/>
                    <pic:cNvPicPr/>
                  </pic:nvPicPr>
                  <pic:blipFill>
                    <a:blip r:embed="rId10"/>
                    <a:stretch>
                      <a:fillRect/>
                    </a:stretch>
                  </pic:blipFill>
                  <pic:spPr>
                    <a:xfrm>
                      <a:off x="0" y="0"/>
                      <a:ext cx="5029200" cy="3546449"/>
                    </a:xfrm>
                    <a:prstGeom prst="rect"/>
                  </pic:spPr>
                </pic:pic>
              </a:graphicData>
            </a:graphic>
          </wp:inline>
        </w:drawing>
      </w:r>
    </w:p>
    <w:p>
      <w:pPr>
        <w:jc w:val="center"/>
      </w:pPr>
      <w:r>
        <w:rPr>
          <w:rFonts w:ascii="Times New Roman" w:hAnsi="Times New Roman"/>
          <w:i/>
          <w:sz w:val="18"/>
        </w:rPr>
        <w:t>Figure 3. Predicted internationalization–performance curve with 95% confidence band. Apparent turning point at FSTS ≈ 83% lies in the sparsely populated right tail of the export-intensity distribution and should be read as descriptive rather than as structurally identified. N = 623.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ntTable" Target="fontTable.xml"/><Relationship Id="rId7"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Manuscript Blinded</dc:title>
  <dc:creator>Anonymous (blinded for review)</dc:creator>
  <cp:lastModifiedBy>Un-named</cp:lastModifiedBy>
  <cp:revision>1</cp:revision>
  <dcterms:created xsi:type="dcterms:W3CDTF">2026-04-28T12:46:50.345Z</dcterms:created>
  <dcterms:modified xsi:type="dcterms:W3CDTF">2026-04-28T12:46:50.346Z</dcterms:modified>
</cp:coreProperties>
</file>

<file path=docProps/custom.xml><?xml version="1.0" encoding="utf-8"?>
<Properties xmlns="http://schemas.openxmlformats.org/officeDocument/2006/custom-properties" xmlns:vt="http://schemas.openxmlformats.org/officeDocument/2006/docPropsVTypes"/>
</file>