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Singapore, treated as an extreme-case, within-context setting of a digitally mature economy. Using World Bank Enterprise Survey microdata for Singapore 2023 (N = 623),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the full-sample inverted-U shape is robust (96.3% of bootstrap replications) but its location is loosely identified (95% bootstrap CI for the turning point: [53%, 253%]). Within an extensive–intensive split addressing the dominance of zero-FSTS firms (82% of the sample), curvature is not detectable inside the exporter subsample, so the full-sample polynomial reads as a descriptive baseline rather than a structurally identified curve. Second, TCI is positively and consistently associated with productivity across leave-one-out and trimmed-tail perturbations; no distinguishable moderation by TCI is detected. Third, DAI shows a conditional rather than uniform productivity association: it becomes more positive at higher export intensity, and the moderation pattern survives leave-one-out, item-swap falsification, and trimmed-tail re-estimation. The study contributes refined boundary conditions for the internationalization–performance literature in Singapore as an extreme-case setting, clarifying that TCI shifts the productivity level while DAI complements export-intensity scaling.</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mature economies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digitally mature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2 (H2). Technological capability (TCI) is positively associated with labour productivity in Singapore. Whether TCI also moderates the curvature of the internationalization–performance relationship is treated as an open empirical question; the present design tests for, but does not presume, a moderation channel.</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In a digitally mature economy,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on export intensity rather than uniform across firms. Specifically, foundational digital adoption is expected to complement the productivity returns to higher levels of export intensity; the moderation pattern is formally tested in H4.</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extreme-case, within-context setting of a digitally mature economy.</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Technological capability (TCI) and digital adoption (DAI) are moderators acting on the internationalization–performance path (H2 and H4). The diagram also lists the direct effects of TCI and DAI on the dependent variable (H1 and H3), which are estimated in the empirical model but not drawn as crossing arrows for visual clarity. Firm size, age, foreign ownership, and broad-sector fixed effects enter as controls. Solid arrows denote direct associations; dashed arrows denote moderation associations. The setting is Singapore as an extreme-case, within-context observation of a digitally mature economy (WBES 2023, N = 623 / 617).</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2.652, SE = 0.691, p &lt; .001), while the squared FSTS term is negative and only marginally significant (β = −1.705, SE = 0.931, p = .067). The fitted curve therefore implies a turning point at very high export intensity, around FSTS 82% on the original scale; a 5,000-replication cluster bootstrap places the 95% percentile confidence interval for this turning point at [53%, 253%] (median 80%, IQR [68%, 102%]), while recovering an inverted-U *shape* in 96.3% of bootstrap replications. The shape is therefore robustly inverted-U, but its precise location is only loosely identified, and the implied turning point should be treated as a descriptive feature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.303.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digitally mature setting,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extreme-case Singapore setting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extreme-case Singapore setting,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extreme-case Singapore settings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digitally mature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digitally mature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digitally mature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digitally mature economies,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a single-country cross-section,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read the present results as extreme-case, within-context evidence from Singapore: the estimated patterns describe how productivity, technological capability, and digital adoption co-move with export intensity in a digitally mature economy, while leaving causal identification of any specific mechanism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82.2% of firms report zero exports, 4.5% exceed 50% export intensity, and only 3.2% exceed 70%. Two consequences follow. First, the implied quadratic turning point at 82% on the FSTS scale is identified from a sparsely populated region; 5,000-replication cluster bootstrap places the 95% percentile confidence interval at [53%, 253%], so the turning point is best read as an indicative descriptive feature rather than a structurally identified inflection — the inverted-U *shape* is robust (recovered in 96.3% of bootstrap replications) but its *location* is imprecise. Second, the DAI moderation pattern attains conventional joint significance in the full-sample, leave-one-out (100% of LOO fits), and trimmed-tail re-estimations (drop FSTS &gt; 70%: F = 5.51, p = .004; drop FSTS &gt; 80%: F = 4.42, p = .012); within the exporter-only subsample (N = 84) the joint F-test for DAI moderation remains significant (F = 6.32, p = .003) but the 95% confidence intervals for individual coefficients are wider, reflecting the small subsample size rather than a fragile underlying pattern. The appropriate caution therefore rests on (i) the thin upper-tail support for the precise location of the turning point and (ii) the borderline precision of individual moderation coefficients in the small exporter subsample, not on differences in adjusted R² across samples of unequal size and composition.</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and the present results should be read as an initial firm-level test of a conditional digital-adoption argument in one digitally mature setting rather than as definitive evidence of a generalized pattern across digitally mature economies. The DAI indicators available in WBES 2023 capture Tier 1–2 digital adoption — digital presence and digital transaction usage — rather than Tier 3–4 digital capability or dynamic capability; indicator-sensitivity analysis shows that the moderation pattern depends on the foundational digital-infrastructure indicators (firm website and electronic-payment-to-suppliers usage) and weakens when these specific indicators are dropped.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Technological capability (TCI) and digital adoption (DAI) are moderators acting on the internationalization–performance path (H2 and H4). The diagram also lists the direct effects of TCI and DAI on the dependent variable (H1 and H3), which are estimated in the empirical model but not drawn as crossing arrows for visual clarity. Firm size, age, foreign ownership, and broad-sector fixed effects enter as controls. Solid arrows denote direct associations; dashed arrows denote moderation associations. The setting is Singapore as an extreme-case, within-context observation of a digitally mature economy (WBES 2023, N = 623 / 617).</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