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in a Digital-Frontier Economy: Evidence From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shape the internationalization–performance relationship in a digital-frontier economy. Using World Bank Enterprise Survey microdata for Singapore 2023 (N = 623), the analysis develops a two-construct measurement architecture that distinguishes a Technological Capability Index (TCI) from a Digital Adoption Index (DAI). TCI captures firm-internal capability depth in innovation, learning, and operational mastery, whereas DAI captures firms’ uptake of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The results show that TCI is positively associated with labour productivity and operates primarily as a level-shift effect on the productivity intercept rather than as a curvature-shaping moderator. The baseline internationalization–performance pattern is best characterized as predominantly monotonic positive with mild quadratic curvature within the observed export-intensity range; although the fitted curve implies a turning point at very high export intensity, formal statistical support for a conventional inverted-U is not established. DAI shows conditional rather than universal relevance: its productivity association becomes more positive at higher levels of export intensity, with the strongest evidence concentrated in the high-export tail. These findings refine the boundary conditions of the internationalization–performance literature by suggesting that, in a digitally mature institutional environment, the classic right-side decline of the curve may be attenuated or shifted toward sparsely populated levels of export intensity. The study also contributes sharper construct validity by distinguishing technological capability from foundational digital adoption and by showing that digital adoption in a digital-frontier economy is better understood as a scale-enabling complement than as a uniform firm-level productivity premium.</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boundary conditions;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digital-frontier environments (Peng 2003; Peng et al. 2008) and may not fully capture how the I–P curve behaves when firms operate in a digitally mature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mature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the dominant measurement approach has often conflated digital adoption with broader technological capability, making it difficult to determine whether observed productivity differences reflect firm-internal capability depth or firms’ participation in digitally enabled interfaces and transactions (Verhoef et al. 2021). This matters because the two domains imply different mechanisms of advantage and should not be assumed to operate identically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recent work on digital internationalization has advanced important theoretical insights (Banalieva &amp; Dhanaraj 2019; Stallkamp &amp; Schotter 2021), much of it remains conceptual or focused on multinational samples, leaving under-examined the within-economy firm-level question of how foundational digital adoption interacts with export intensity in a single digitally mature institutional environment. In particular, the literature still lacks clear firm-level evidence on whether basic digital presence and transaction-enabling systems matter uniformly across firms or mainly when cross-border coordination demands intensify (Bharadwaj et al. 2013; Verhoef et al. 2021).</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I–P literature has documented inverted-U patterns extensively, but it has not clearly specified how its coordination-cost logic should behave in digital-frontier settings (Marano et al. 2016). If mature digital infrastructure attenuates the frictions that underpin the right-side decline of the I–P curve, then the conventional turning point may no longer be visible within the export range most firms actually occupy. This leaves an unresolved boundary-condition question: does digital maturity alter the form of the I–P relationship itself, or does it mainly shift the region in which its nonlinear structure becomes observable?</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refine the boundary conditions of the internationalization–performance literature by showing that, in Singapore 2023, the classic right-side decline of the I–P curve is not formally identified within the observed export-intensity range and appears to be shifted toward a sparsely populated upper tail. In doing so, the study qualifies rather than overturns the conventional nonlinear I–P logic summarized in prior meta-analytic work (Marano et al. 2016).</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measurement-theoretic. The analysis distinguishes technological capability from digital adoption, thereby separating firm-internal capability depth grounded in technological learning and absorptive capacity from foundational digitally enabled market participation (Cohen &amp; Levinthal 1990; Lall 1992; Verhoef et al. 2021). The second supporting contribution is substantive. The findings show that foundational digital adoption is better understood as a scale-enabling complement whose productivity relevance becomes stronger at higher export intensity, rather than as a uniform firm-level productivity premium, which is consistent with the broader logic of digital strategy and digitally mediated coordination (Bharadwaj et al. 2013; Verhoef et al. 2021).</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 xml:space="preserve">A boundary condition implicit in this literature, but rarely articulated, is that the inverted-U requires a coordination-cost mechanism that scales with internationalization intensity. If a firm operates in an institutional environment where coordination costs have already been substantially attenuated — for example, by mature cross-border digital infrastructure — the right-side decline of the inverted-U may be flattened or shifted to levels of internationalization that are sparsely represented in the observed FSTS distribution. Singapore is a natural setting in which to examine how these boundary conditions operate at the firm level.</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 xml:space="preserve">A subtler prediction emerges from Rugman and Verbeke's (2004) non-location-bound firm-specific advantage (NLB-FSA) logic. Technological capabilities are firm-specific advantages that are recombinable across borders without significant adaptation cost. While TCI should raise the productivity intercept (H1), it should not interact with internationalization intensity to shift the I–P curvature, because the underlying capability depth is similarly available to the firm at all stages of export expansion.</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2 (H2). </w:t>
      </w:r>
      <w:r>
        <w:rPr>
          <w:rFonts w:ascii="Times New Roman" w:cs="Times New Roman" w:eastAsia="Times New Roman" w:hAnsi="Times New Roman"/>
          <w:i w:val="1"/>
          <w:iCs w:val="1"/>
          <w:sz w:val="20"/>
          <w:szCs w:val="20"/>
          <w:rtl w:val="0"/>
        </w:rPr>
        <w:t xml:space="preserve">The TCI–productivity association in Singapore operates predominantly as a level-shift effect on the productivity intercept rather than as a curvature-shaping moderator of the internationalization–performance relationship.</w:t>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Digital adoption should generate productivity returns through reduced transaction costs, faster information flow, and broader market reach (Bharadwaj et al. 2013; Verhoef et al. 2021). The magnitude of these returns, however, is unlikely to be uniform across firms. Tier 1–2 digital adoption (digital presence and electronic-transaction capability) primarily enables firms to scale existing operations through digital channels rather than to create capability depth de novo (Verhoef et al. 2021). The productivity payoff of such adoption should therefore depend on the extent to which the firm operates at scales where these scale-enabling features can be exercised intensively. At the digital frontier, where cross-border digital infrastructure is mature, the average DAI–productivity association is expected to be positive but modest at the unconditional mean, with most of the productivity premium materializing in firms whose operating scale — in particular, their cross-border activity — provides sufficient throughput for digital channels to be exploited efficiently. We therefore frame H3 as a directional but conditional claim, reserving the explicit moderation prediction for H4.</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3 (H3). </w:t>
      </w:r>
      <w:r>
        <w:rPr>
          <w:rFonts w:ascii="Times New Roman" w:cs="Times New Roman" w:eastAsia="Times New Roman" w:hAnsi="Times New Roman"/>
          <w:i w:val="1"/>
          <w:iCs w:val="1"/>
          <w:sz w:val="20"/>
          <w:szCs w:val="20"/>
          <w:rtl w:val="0"/>
        </w:rPr>
        <w:t xml:space="preserve">Digital adoption (DAI) is positively associated with firm performance in Singapore on average, with the magnitude of this association expected to vary systematically with the firm’s internationalization intensity (formally tested in H4).</w:t>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The most theoretically novel prediction concerns how digital adoption interacts with export intensity in a digitally mature institutional environment. In such settings, digital infrastructure may no longer generate a uniform productivity premium across all firms because basic digital functionality is already widely available. Its value may instead become more contingent on the scale and complexity of cross-border operations. Firms with high export intensity face greater coordination, transaction, and information-processing demands across markets, making digital adoption more valuable as a scale-enabling complement (Brynjolfsson et al. 2021). By contrast, firms with low export intensity may realize weaker productivity benefits because they have fewer opportunities to amortize digital investments across international operations. The relationship is expected to be nonlinear, with digital adoption's productivity returns concentrated at the upper end of internationalization rather than uniformly distributed across export intensity. The marginal productivity of digital adoption is thus contingent on the extent to which cross-border complexity makes digital systems economically consequential. We therefore hypothesize:</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4 (H4). </w:t>
      </w:r>
      <w:r>
        <w:rPr>
          <w:rFonts w:ascii="Times New Roman" w:cs="Times New Roman" w:eastAsia="Times New Roman" w:hAnsi="Times New Roman"/>
          <w:i w:val="1"/>
          <w:iCs w:val="1"/>
          <w:sz w:val="20"/>
          <w:szCs w:val="20"/>
          <w:rtl w:val="0"/>
        </w:rPr>
        <w:t xml:space="preserve">The association between digital adoption (DAI) and firm performance becomes more positive at higher levels of export intensity in Singapore.</w:t>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 xml:space="preserve">Figure 1 summarizes the conceptual model. The model represents TCI and DAI as analytically distinct firm-level constructs, each with a directional association with firm performance (H1 and H3). TCI is theorized to operate as a level-shift effect on the productivity intercept rather than as a curvature-shaping moderator (H2), whereas DAI is theorized to interact with export intensity such that its productivity association strengthens at higher levels of FSTS (H4). H3 and H4 are jointly informative: H3 specifies the average directional association, and H4 specifies the contingency that governs its magnitude. The whole model is positioned within a digital-frontier institutional environment as the relevant boundary condition.</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Technological capability, digital adoption, and the internationalization–performance relationship in a digital-frontier institutional environment.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baseline, direct-effect models for TCI and DAI, and full specifications that incorporate moderation terms. The baseline quadratic specification evaluates whether the internationalization–performance relationship follows the conventional inverted-U logic, while the later specifications test whether TCI and DAI play distinct direct and contingent roles.</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technological capability operates primarily as a moderator or as an intercept-shifting capability variable.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t>The identification scope of the study is explicitly associational rather than causal, in line with the disciplined causal-language conventions advocated for international business and strategy research (Antonakis et al. 2010; Meyer et al. 2017; Shaver 2020). Because the design is cross-sectional, the analysis cannot rule out reverse causation or omitted-variable bias in the observed relationships among productivity, export intensity, technological capability, and digital adoption. For that reason, the manuscript should consistently use language such as “is associated with,” “is consistent with,” and “supports” rather than causal wording.</w:t>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(β = 2.652, SE = 0.691, p &lt; .001), while the squared FSTS term is negative and only marginally significant (β = −1.705, SE = 0.931, p = .067). The fitted curve therefore implies a turning point at very high export intensity, around FSTS 82.4 on the original scale, but that point lies in a sparsely populated upper tail of the distribution. Because only a small fraction of the sample occupies that upper region, the implied turning point should be treated as descriptive rather than as structurally identified evidence of a conventional inverted-U.</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The formal Lind–Mehlum test fails to reject monotonicity, with p = .303. Following the interpretation already developed in the revision package, the internationalization–performance relationship is therefore better characterized as predominantly monotonic positive with mild quadratic curvature within the observed export-intensity range. This framing is important because it qualifies, rather than overturns, the classic nonlinear literature: the right-side decline may exist in principle, but in a digitally mature institutional setting it appears attenuated or shifted into a sparsely populated upper tail.</w:t>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The manuscript therefore should interpret TCI primarily as a level-shift effect on the productivity intercept rather than as a curvature-shaping moderator of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+2.652***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+2.165**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+2.322***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+1.952**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+2.768***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+2.409**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(0.750)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(0.748)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-1.705†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-1.389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-2.959**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-2.543*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(0.928)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(1.012)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+0.104**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(0.686)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+3.098**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+3.119**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(1.124)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+0.284**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+10.958***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+11.157***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+11.361***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0.211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0.196</w:t>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3.118, SE = 1.117, p = .005). Model M8 also produces the highest explanatory power among the main specifications, with R² = 0.213 and adjusted R² = 0.199.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[+0.002, +0.158]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.752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 +0.106]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[-0.170, +0.101]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[-0.250, +0.113]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[-0.309, +0.135]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.598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[-0.361, +0.208]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.481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[-0.234, +0.496]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0.262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[+0.074, +1.102]</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+1.742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0.573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[+0.618, +2.865]</w:t>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Across domestic, low-export, and much of the middle export range, the marginal effect of DAI is small and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0.588 at FSTS 70 and 1.742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The manuscript should therefore state the DAI finding in conditional terms. In Singapore’s digital-frontier environment, foundational digital adoption appears to function less as a universal productivity lever and more as a scale-enabling complement for firms facing denser cross-border coordination demands. That interpretation is also fully consistent with the construct boundary established earlier, because the observed effect concerns Tier 1–2 digital adoption rather than deeper digitally integrated organizational capability.</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82.4 on the original scale, but this point lies in a sparsely populated upper tail and should therefore be interpreted as descriptive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Although the fitted curve implies a turning point at FSTS 82.4, that point lies in a sparsely populated upper tail of the sample and is not supported by the formal Lind–Mehlum test as evidence of a confirmed inverted-U. The appropriate interpretation is therefore not that the classic nonlinear literature is overturned, but that in a digital-frontier institutional environment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in a digitally mature setting.</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0.153***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3.119**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4.56 (.011)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0.196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1.552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4.01 (.019)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0.159***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2.930**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4.27 (.014)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0.170***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3.521**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4.61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0.219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3.505**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5.30 (.005)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0.130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2.821**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6.32 (.003)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0.165</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appears to operate as a non-location-bound firm-specific advantage (Rugman &amp; Verbeke 2004) that raises the productivity intercept but does not systematically reshape the curvature of the internationalization–performance relationship. This pattern is consistent with the view that internal capability depth can improve how efficiently firms operate across markets without necessarily altering the coordination-cost dynamics that generate nonlinearity in the I–P relationship.</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present evidence qualifies rather than overturns the conventional nonlinear I–P literature (Contractor et al. 2003; Hitt et al. 1997; Lu &amp; Beamish 2004; Marano et al. 2016). The baseline relationship remains mildly curved, but the negative right-hand side of the curve is not formally established within the observed export-intensity range. A useful interpretation is that, in a digital-frontier institutional environment, cross-border coordination costs do not disappear; instead, they are partially reallocated. Mature digital infrastructure reduces basic communication, transaction, and information frictions, which can flatten the right-side decline of the curve within the export-intensity range most firms actually occupy. Under such conditions, the classic inverted-U may still exist in principle, but its turning point is shifted toward the extreme upper tail of internationalization, where empirical observations are sparse in the present sample. This reading positions the contribution as a boundary-condition refinement rather than a competing claim: the I–P curvature documented in earlier samples drawn primarily from pre-digital and transitional-digital economies may not generalize to digital-frontier institutional environments without explicit specification of the digital-infrastructure boundary under which it holds.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digital adoption in a digitally mature economy is best understood as a conditional scaling complement rather than as a universal productivity premium. When basic digital infrastructure is already widespread, digital adoption is less likely to differentiate firms uniformly across the full export-intensity distribution. Its productivity relevance becomes stronger when firms reach high export intensity, because digital interfaces and transaction systems can then be amortized across a larger volume of cross-border exchanges, denser information flows, and more demanding multi-market coordination tasks. This interpretation also clarifies why the construct should be labeled digital adoption rather than digital capability. The available WBES indicators capture firms’ uptake of digital interfaces and transaction-enabling mechanisms, not deeper digitally integrated organizational capabilities. Distinguishing DAI from TCI therefore does more than improve terminology; it clarifies that firm-internal capability depth and digitally enabled cross-border orchestration are analytically distinct sources of performance heterogeneity. In the present setting, the observed DAI effect should be understood as evidence about the productivity relevance of Tier 1–2 digitalization in a digital-frontier economy, not as direct evidence about deeper digitally integrated organizational capability.</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operating in digital-frontier settings, the findings suggest that investments in digital adoption are most strongly associated with productivity advantages when firms already operate at high export intensity. In such cases, digital interfaces, payment systems, and related transaction-enabling tools appear to function as scaling mechanisms that help firms coordinate a larger volume of cross-border activity more efficiently. For firms that are already deeply engaged in export markets, the implication is therefore strategic rather than merely symbolic: foundational digital systems seem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beneficial, but the productivity differentials appear smaller and less distinctive. In a digitally mature economy, basic digital functionality is already widespread, so adopting such tools may no longer generate a large standalone productivity premium for all firms equally. For firms in the intermediate export-intensity range, the results suggest caution in expecting immediate labour-productivity gains from digital adoption alone. The evidence does not indicate a strong penalty in this range, but neither does it indicate reliably large gains. Managerially, this implies that digital adoption in this segment should be aligned with broader strategic objectives such as market access, customer integration, supplier coordination, and future export scaling rather than justified only on the basis of short-run productivity returns.</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digital adoption seem to become especially valuable when firms face the coordination intensity associated with deeper internationalization. For managerial decision making, this means that capability-building and digitalization strategies should be sequenced and matched to the firm’s actual stage of export expansion rather than pursued as a single undifferentiated digital 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in a digital-frontier economy by distinguishing technological capability from digital adoption and examining how each relates to labour productivity in Singapore. Using World Bank Enterprise Survey microdata for Singapore 2023, the analysis shows that technological capability is positively associated with productivity and operates primarily as a level-shift effect, whereas digital adoption shows conditional relevance that becomes more positive at higher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findings also refine the interpretation of the nonlinear I–P literature in digitally mature settings. Within the observed export-intensity range, the baseline pattern is best characterized as predominantly monotonic positive with mild quadratic curvature rather than as a formally identified inverted-U. Read in this way, the evidence does not overturn the established I–P literature, but instead suggests that, in digital-frontier environments, the right-side decline of the curve may be attenuated or shifted toward sparsely populated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validity and clarifying a boundary condition of digital internationalization. Technological capability appears to capture firm-internal capability depth, whereas foundational digital adoption is better understood as a contingent scaling resource whose productivity relevance becomes more visible as cross-border coordination demands increase.</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explicit caution in interpreting the findings. First, the analysis is cross-sectional, and the identification strategy is therefore associational rather than causal. The observed positive associations among TCI, DAI, internationalization, and labour productivity admit at least two non-causal interpretations consistent with the data. The first is productivity-driven self-selection into digital adoption: more productive firms may have the financial slack and managerial bandwidth to install electronic-payment systems and digital interfaces, so the observed DAI–productivity association may reflect this selection channel rather than a productivity-enhancing effect of digital adoption per se. The second is productivity-driven self-selection into international markets, in which only firms above a productivity threshold profitably overcome the fixed costs of exporting; the observed FSTS–DAI interaction could therefore reflect productivity-induced co-movement of export intensity and digital-system utilization rather than a digital-system-induced productivity gain. Standard ex post diagnostics, such as non-significant inverse Mills ratios from Heckman-style models, do not constitute affirmative evidence of unbiasedness in the absence of a valid exclusion restriction (Wolfolds &amp; Siegel 2019). The disciplined response is therefore to restrict interpretation to a boundary-condition claim—that the I–P curvature and the marginal value of digital adoption appear systematically conditional on export intensity in a digital-frontier setting—while leaving causal identification to designs that cannot be implemented in the present study.</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present sample contains a thin right tail of high-intensity exporters, with only 18% of firms reporting non-zero exports and only 3% exceeding 50% export intensity. This constrains statistical precision exactly where the moderation effect is theoretically most relevant and suggests caution in generalizing from the upper end of the export distribution. Two specific consequences follow. First, the apparent quadratic turning point of the I–P curve at FSTS 82.4 on the original uncentered scale is identified primarily from a sparsely populated region of the FSTS distribution and should therefore be treated as a within-sample descriptive feature rather than as a structurally identified inflection. Second, the DAI moderation pattern in Table 4 attains conventional significance only at FSTS 70 and FSTS 100, and the exporters-only subsample in Table 3 yields a substantially lower adjusted R² than the full-sample specifications. The scale-enabling-complement finding is therefore best characterized as suggestive evidence consistent with a digital-frontier boundary condition rather than as a structurally identified universal pattern. Replication on larger samples of high-intensity exporters from comparable digital-frontier economies, where the right tail of FSTS is denser and support-aware diagnostics can be applied more powerfully, would substantially strengthen the inference.</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moderation effect is statistically detectable but substantively modest. The findings should therefore be treated as an initial firm-level test of a digital-frontier argument rather than as definitive evidence of a generalized boundary condition. The DAI indicators available in WBES 2023 capture Tier 1–2 digital adoption—digital presence and digital transaction usage—rather than Tier 3–4 digital capability or digital dynamic capability. Although equivalence-testing approaches (Lakens et al. 2018) could in principle quantify the support for null moderation in subsamples, the present sample size limits their power, and the more cautious reading is that absence of moderation cannot be inferred from non-significance alone. Whether the scale-enabling-complement pattern persists, attenuates, or is amplified under richer measures of digitally integrated organizational capabilities remains an open empirical question. Future research should therefore examine whether the same pattern appears in other digitally mature economies, such as Hong Kong, the Republic of Korea, and Taiwan, and under purpose-designed instruments that capture deeper digital dynamic capabilities. Future research should also extend this measurement architecture by linking WBES-type microdata, where confidentiality arrangements permit, to firm-level databases or by using purpose-built survey instruments that better capture process-level digital integration and higher-order capability depth. More broadly, future work should examine whether the scale-enabling-complement pattern operates through identifiable mechanisms such as supplier-side digital integration, customer-facing digital channels, or internal ERP integration. Causal identification, in particular, would benefit from firm-level panel data, successive enterprise-survey waves, national statistical-office registers, or proprietary databases that permit firm fixed-effects estimation. Where suitable instruments are available, such as regional digital-infrastructure rollouts or plausibly exogenous trade-policy shocks, instrumental-variable or difference-in-differences designs would further upgrade the present associational evidence to causal identification. These designs would directly test whether the boundary condition documented here—namely, that digital adoption operates as a scale-enabling complement at high export intensity in digital-frontier settings—is causally generated rather than reflecting selection on unobserved firm-level performance heterogeneity.</w:t>
      </w:r>
      <w:r>
        <w:rPr>
          <w:rtl w:val="0"/>
        </w:rPr>
      </w:r>
      <w:r>
        <w:rPr>
          <w:rFonts w:ascii="Times New Roman" w:hAnsi="Times New Roman"/>
          <w:sz w:val="22"/>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Data Availability Statement</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The data analyzed in this study are from the World Bank Enterprise Survey (WBES) Singapore 2023 wave, publicly available at https://www.enterprisesurveys.org. Analysis scripts to replicate the results are available from the corresponding author on reasonable request.</w:t>
      </w:r>
      <w:r>
        <w:rPr>
          <w:rtl w:val="0"/>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Technological capability, digital adoption, and the internationalization–performance relationship in a digital-frontier institutional environment.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82.4 on the original scale, but this point lies in a sparsely populated upper tail and should therefore be interpreted as descriptive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