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Digital Capabilities as a Double-Edged Sword: A Lifecycle Analysis of Internationalisation and Firm Performance in Vietnam</w:t>
      </w:r>
    </w:p>
    <w:p>
      <w:pPr>
        <w:pStyle w:val="Subtitle"/>
      </w:pPr>
      <w:r>
        <w:t>v4.5.1 — md-guided revision (Vietnam, three-wave lifecycle)</w:t>
      </w:r>
    </w:p>
    <w:p>
      <w:pPr>
        <w:pStyle w:val="Date"/>
      </w:pPr>
      <w:r>
        <w:t>2026-05-01</w:t>
      </w:r>
    </w:p>
    <w:p>
      <w:pPr>
        <w:pStyle w:val="Heading1"/>
      </w:pPr>
      <w:r>
        <w:t>Abstract</w:t>
      </w:r>
    </w:p>
    <w:p>
      <w:pPr>
        <w:pStyle w:val="FirstParagraph"/>
      </w:pPr>
      <w:r>
        <w:t>This study examines whether digital capability in Vietnam operates as a stable productivity-enhancing resource or as a context-dependent capability whose value changes across stages of internationalisation. Building on the internationalisation–performance literature, the study argues that the benefits of foreign expansion are unlikely to be linear because scale, learning, and diversification gains may eventually be offset by coordination costs and organisational complexity (Marano et al., 2016). It further argues that digitalisation should not be treated as a single undifferentiated construct because deeper technological capability and foundational digital adoption capture different dimensions of firm heterogeneity (Cohen &amp; Levinthal, 1990; Lall, 1992; Verhoef et al., 2021).</w:t>
      </w:r>
    </w:p>
    <w:p>
      <w:pPr>
        <w:pStyle w:val="BodyText"/>
      </w:pPr>
      <w:r>
        <w:t>Using three waves of harmonised firm-level evidence from the World Bank Enterprise Survey for Vietnam (2009, 2015, 2023), we distinguish a Technological Capability Index (TCI_z) from a Digital Adoption Index (DAI_z) and evaluate their roles in both pooled and wave-specific OLS specifications with HC1 robust covariance. The findings indicate that the internationalisation–performance relationship is nonlinear in the pooled evidence and is especially visible in the later waves. In the pooled full model, both TCI_z and DAI_z are positively associated with firm performance, indicating that both deeper capability stocks and foundational digital adoption are beneficial on average. However, the wave-specific evidence reveals substantial temporal heterogeneity: both TCI and DAI are strongly positive in 2009, lose salience in 2015, and re-emerge in 2023, when digital adoption also becomes more tightly connected to export intensity.</w:t>
      </w:r>
    </w:p>
    <w:p>
      <w:pPr>
        <w:pStyle w:val="BodyText"/>
      </w:pPr>
      <w:r>
        <w:t>These findings suggest that digital capability in a transitional economy should not be interpreted as a universal premium. Instead, its performance value varies across stages of internationalisation and phases of economic transition. The study contributes to international business research by refining the boundary conditions of the internationalisation–performance relationship, improving construct clarity between technological capability and foundational digital adoption, and showing that pooled average effects can obscure important lifecycle heterogeneity.</w:t>
      </w:r>
    </w:p>
    <w:p>
      <w:pPr>
        <w:pStyle w:val="BodyText"/>
      </w:pPr>
      <w:r>
        <w:t>Keywords: internationalisation–performance relationship; digital adoption; technological capability; Vietnam; firm performance; lifecycle heterogeneity.</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&amp;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(Cohen &amp; Levinthal, 1990; Lall, 1992).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977 observations for 2009, 964 for 2015, and 1,013 for 2023. The pooled full model contains 2,954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&amp;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The models also include standard firm-level controls: firm size (lnEmp), firm age (FirmAge), and foreign ownership (ForeignOwned). Sector fixed effects use the broad ISIC classification. In pooled specifications, wave fixed effects are added to absorb broad period differences. Listwise deletion is applied on the focal variable set, with WBES non-response codes treated as missing.</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Heading2"/>
      </w:pPr>
      <w:r>
        <w:t>4.1 Wave-specific findings</w:t>
      </w:r>
    </w:p>
    <w:p>
      <w:pPr>
        <w:pStyle w:val="FirstParagraph"/>
      </w:pPr>
      <w:r>
        <w:t>The wave-specific evidence reveals clear temporal heterogeneity. In 2009, both capability constructs are strongly and positively associated with performance. In the full 2009 model, TCI_z is positive and highly significant (β = 0.274, p &lt; .001), and DAI_z is also positive and highly significant (β = 0.210, p &lt; .001). However, the interaction terms involving DAI_z are not significant in that wave. This indicates that, in the earlier phase, both technological capability and foundational digital adoption operate primarily as direct performance-enhancing resources rather than as robust moderators of the I–P relationship.</w:t>
      </w:r>
    </w:p>
    <w:p>
      <w:pPr>
        <w:pStyle w:val="BodyText"/>
      </w:pPr>
      <w:r>
        <w:t>The 2015 wave shows a different configuration. The I–P relationship becomes more clearly nonlinear in that period: in the full model, the linear FSTS_c term is positive and significant (β = 1.653, p = .041), while the quadratic FSTS_c² term is negative and significant (β = −2.175, p = .010). At the same time, both capability measures lose direct salience. TCI_z becomes statistically insignificant (β = 0.071, p = .297), and DAI_z is likewise insignificant (β = 0.006, p = .928). The interaction terms involving DAI_z also remain insignificant. This suggests a transitional phase in which export intensity matters, but the performance payoff from capability variables becomes more muted.</w:t>
      </w:r>
    </w:p>
    <w:p>
      <w:pPr>
        <w:pStyle w:val="BodyText"/>
      </w:pPr>
      <w:r>
        <w:t>The 2023 evidence reveals another shift. The nonlinear structure remains visible, with a positive linear FSTS_c term (β = 1.338, p = .112) and a negative quadratic FSTS_c² term that is statistically significant (β = −1.942, p = .023). More importantly, both capability measures regain direct significance: TCI_z is positive (β = 0.140, p = .013) and DAI_z is positive (β = 0.161, p = .012). In addition, the linear interaction between FSTS_c and DAI_z is negative and reaches the conventional significance threshold (β = −1.072, p = .050), suggesting that the performance relevance of digital adoption becomes more conditional on export intensity in the later wave.</w:t>
      </w:r>
    </w:p>
    <w:p>
      <w:pPr>
        <w:pStyle w:val="BodyText"/>
      </w:pPr>
      <w:r>
        <w:t>Taken together, the wave-specific results suggest a lifecycle pattern rather than a stable cross-period rule. The direct payoff from both TCI_z and DAI_z is strong in 2009, weak in 2015, and positive again in 2023, with digital adoption becoming more conditional in the later wave.</w:t>
      </w:r>
    </w:p>
    <w:p>
      <w:pPr>
        <w:pStyle w:val="Heading2"/>
      </w:pPr>
      <w:r>
        <w:t>4.2 Pooled findings</w:t>
      </w:r>
    </w:p>
    <w:p>
      <w:pPr>
        <w:pStyle w:val="FirstParagraph"/>
      </w:pPr>
      <w:r>
        <w:t>The pooled results confirm that the I–P relationship is nonlinear on average. In the pooled nonlinear model, the linear FSTS_c term is positive and significant (β = 1.207, p = .003), while the quadratic FSTS_c² term is negative and significant (β = −1.714, p &lt; .001). This pattern remains in the pooled full model, where the linear term is positive (β = 1.036, p = .023) and the quadratic term remains negative and significant (β = −1.487, p = .002). This supports H1 and aligns with the broader nonlinear logic emphasised in prior international business research (Marano et al., 2016).</w:t>
      </w:r>
    </w:p>
    <w:p>
      <w:pPr>
        <w:pStyle w:val="BodyText"/>
      </w:pPr>
      <w:r>
        <w:t>The pooled evidence also shows that both capability dimensions are positively associated with firm performance on average. In the pooled full model, TCI_z is positive and statistically significant (β = 0.138, p &lt; .001), and DAI_z is also positive and statistically significant (β = 0.125, p &lt; .001). These estimates indicate that, when averaged across waves, both deeper technological capability and foundational digital adoption are performance enhancing, supporting H2 and H3.</w:t>
      </w:r>
    </w:p>
    <w:p>
      <w:pPr>
        <w:pStyle w:val="BodyText"/>
      </w:pPr>
      <w:r>
        <w:t>The pooled interaction terms involving DAI_z, however, are not statistically significant. The linear interaction between FSTS_c and DAI_z is negative but insignificant (β = −0.573, p = .170), and the quadratic interaction is positive but insignificant (β = 0.460, p = .298). This matters because it shows that the pooled average should not be interpreted as evidence of a stable moderation effect across time. Instead, the pooled model masks meaningful stage-specific heterogeneity.</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supported because the pooled evidence indicates a nonlinear relationship between internationalisation and firm performance, and the later waves display the same logic more clearly. H2 is supported because TCI_z is positively associated with performance in the pooled evidence and in two of the three wave-specific periods. H3 is also supported because DAI_z is positively associated with performance on average and in two of the three waves.</w:t>
      </w:r>
    </w:p>
    <w:p>
      <w:pPr>
        <w:pStyle w:val="BodyText"/>
      </w:pPr>
      <w:r>
        <w:t>H4 receives partial but meaningful support. The pooled interaction terms do not indicate a stable conditional role for DAI_z across all periods. However, the wave-specific analysis shows that the role of DAI_z changes over time and becomes more conditionally linked to export intensity in 2023. This is consistent with the broader claim that digital capability is stage contingent rather than uniformly valuable in the same way across all phases.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 full model</w:t>
            </w:r>
          </w:p>
        </w:tc>
        <w:tc>
          <w:tcPr>
            <w:tcW w:type="dxa" w:w="1872"/>
          </w:tcPr>
          <w:p>
            <w:r>
              <w:t>Not clearly supported in full model</w:t>
            </w:r>
          </w:p>
        </w:tc>
        <w:tc>
          <w:tcPr>
            <w:tcW w:type="dxa" w:w="1872"/>
          </w:tcPr>
          <w:p>
            <w:r>
              <w:t>0.274 (p &lt; .001)</w:t>
            </w:r>
          </w:p>
        </w:tc>
        <w:tc>
          <w:tcPr>
            <w:tcW w:type="dxa" w:w="1872"/>
          </w:tcPr>
          <w:p>
            <w:r>
              <w:t>0.210 (p &lt; .001)</w:t>
            </w:r>
          </w:p>
        </w:tc>
        <w:tc>
          <w:tcPr>
            <w:tcW w:type="dxa" w:w="1872"/>
          </w:tcPr>
          <w:p>
            <w:r>
              <w:t>Not significant</w:t>
            </w:r>
          </w:p>
        </w:tc>
      </w:tr>
      <w:tr>
        <w:tc>
          <w:tcPr>
            <w:tcW w:type="dxa" w:w="1872"/>
          </w:tcPr>
          <w:p>
            <w:r>
              <w:t>2015 full model</w:t>
            </w:r>
          </w:p>
        </w:tc>
        <w:tc>
          <w:tcPr>
            <w:tcW w:type="dxa" w:w="1872"/>
          </w:tcPr>
          <w:p>
            <w:r>
              <w:t>FSTS_c positive (1.653, p = .041); FSTS_c² negative (−2.175, p = .010)</w:t>
            </w:r>
          </w:p>
        </w:tc>
        <w:tc>
          <w:tcPr>
            <w:tcW w:type="dxa" w:w="1872"/>
          </w:tcPr>
          <w:p>
            <w:r>
              <w:t>0.071 (p = .297) n.s.</w:t>
            </w:r>
          </w:p>
        </w:tc>
        <w:tc>
          <w:tcPr>
            <w:tcW w:type="dxa" w:w="1872"/>
          </w:tcPr>
          <w:p>
            <w:r>
              <w:t>0.006 (p = .928) n.s.</w:t>
            </w:r>
          </w:p>
        </w:tc>
        <w:tc>
          <w:tcPr>
            <w:tcW w:type="dxa" w:w="1872"/>
          </w:tcPr>
          <w:p>
            <w:r>
              <w:t>Not significant</w:t>
            </w:r>
          </w:p>
        </w:tc>
      </w:tr>
      <w:tr>
        <w:tc>
          <w:tcPr>
            <w:tcW w:type="dxa" w:w="1872"/>
          </w:tcPr>
          <w:p>
            <w:r>
              <w:t>2023 full model</w:t>
            </w:r>
          </w:p>
        </w:tc>
        <w:tc>
          <w:tcPr>
            <w:tcW w:type="dxa" w:w="1872"/>
          </w:tcPr>
          <w:p>
            <w:r>
              <w:t>FSTS_c² negative and significant (−1.942, p = .023)</w:t>
            </w:r>
          </w:p>
        </w:tc>
        <w:tc>
          <w:tcPr>
            <w:tcW w:type="dxa" w:w="1872"/>
          </w:tcPr>
          <w:p>
            <w:r>
              <w:t>0.140 (p = .013)</w:t>
            </w:r>
          </w:p>
        </w:tc>
        <w:tc>
          <w:tcPr>
            <w:tcW w:type="dxa" w:w="1872"/>
          </w:tcPr>
          <w:p>
            <w:r>
              <w:t>0.161 (p = .012)</w:t>
            </w:r>
          </w:p>
        </w:tc>
        <w:tc>
          <w:tcPr>
            <w:tcW w:type="dxa" w:w="1872"/>
          </w:tcPr>
          <w:p>
            <w:r>
              <w:t>FSTS_c × DAI_z = −1.072 (p = .050)</w:t>
            </w:r>
          </w:p>
        </w:tc>
      </w:tr>
      <w:tr>
        <w:tc>
          <w:tcPr>
            <w:tcW w:type="dxa" w:w="1872"/>
          </w:tcPr>
          <w:p>
            <w:r>
              <w:t>Pooled full model</w:t>
            </w:r>
          </w:p>
        </w:tc>
        <w:tc>
          <w:tcPr>
            <w:tcW w:type="dxa" w:w="1872"/>
          </w:tcPr>
          <w:p>
            <w:r>
              <w:t>FSTS_c positive (1.036, p = .023); FSTS_c² negative (−1.487, p = .002)</w:t>
            </w:r>
          </w:p>
        </w:tc>
        <w:tc>
          <w:tcPr>
            <w:tcW w:type="dxa" w:w="1872"/>
          </w:tcPr>
          <w:p>
            <w:r>
              <w:t>0.138 (p &lt; .001)</w:t>
            </w:r>
          </w:p>
        </w:tc>
        <w:tc>
          <w:tcPr>
            <w:tcW w:type="dxa" w:w="1872"/>
          </w:tcPr>
          <w:p>
            <w:r>
              <w:t>0.125 (p &lt; .001)</w:t>
            </w:r>
          </w:p>
        </w:tc>
        <w:tc>
          <w:tcPr>
            <w:tcW w:type="dxa" w:w="1872"/>
          </w:tcPr>
          <w:p>
            <w:r>
              <w:t>Not significant</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The substantive findings survive the standard robustness checks distributed with the replication package. First, replacing the broad ISIC sector fixed effects with two-digit ISIC fixed effects shifts the focal coefficients within sampling error and leaves the H1, H2, and H3 inferences unchanged in the pooled sample. Second, excluding micro-firms with fewer than ten permanent employees moves the pooled inverted-U coefficients by at most a few percentage points and does not alter the sign or significance of any focal term.</w:t>
      </w:r>
    </w:p>
    <w:p>
      <w:pPr>
        <w:pStyle w:val="BodyText"/>
      </w:pPr>
      <w:r>
        <w:t>Third, an enriched TCI_full composite that adds product-innovation and R&amp;D indicators to b8 (quality certification) and e6 (foreign-licensed technology) is constructed for the 2015 and 2023 waves where those items are available. The TCI_full coefficient remains positive and the substantive direction is preserved, although the size of the direct association is attenuated when the broader composite is used. Fourth, an enriched DAI_rich composite that adds customer-side and supplier-side electronic-payment intensity is constructed for the 2023 wave only, because the payment items are not present in the earlier releases. The DAI_rich estimates confirm the wave-2023 pattern: foundational digital adoption matters, and its conditional relevance to export intensity is not an artefact of the website-only thin specification.</w:t>
      </w:r>
    </w:p>
    <w:p>
      <w:pPr>
        <w:pStyle w:val="BodyText"/>
      </w:pPr>
      <w:r>
        <w:t>Finally, sample-selection probes apply a manual Heckman two-step using the WBES sampling region as the exclusion restriction in the export-participation probit, and a complementary control-function specification using the generalised residual from the same probit. The inverse Mills ratio and the control-function residual are not statistically significant in any of the four panels, and re-estimating the outcome equation conditional on either correction leaves the focal coefficients within the original confidence intervals. The Paternoster (1998) cross-wave z-tests indicate that the apparent attenuation of TCI_z between 2009 and 2023 is at the margin of conventional significance, while the DAI_z and FSTS curvature differences across waves are not statistically distinguishable in their pairwise comparisons.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the cross-wave comparisons are descriptive: the Paternoster (1998) z-tests indicate which differences across waves are statistically distinguishable but do not identify the institutional or compositional mechanisms that drive the shift between the 2009, 2015, and 2023 patterns. Future work could exploit policy timing (for example, Vietnam’s National Digital Transformation Programme launched in 2020) for sharper identification of the digital channel.</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Acknowledgements</w:t>
      </w:r>
    </w:p>
    <w:p>
      <w:pPr>
        <w:pStyle w:val="FirstParagraph"/>
      </w:pPr>
      <w:r>
        <w:t>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and the relevant funding agency bear no responsibility for use of the data or for interpretations or inferences based upon such uses. The findings, interpretations, and conclusions expressed in this paper are entirely those of the authors.</w:t>
      </w:r>
    </w:p>
    <w:p>
      <w:pPr>
        <w:pStyle w:val="BodyText"/>
      </w:pPr>
      <w:r>
        <w:t>The authors received no specific grant from any funding agency in the public, commercial, or not-for-profit sectors for the research, authorship, or publication of this article.</w:t>
      </w:r>
    </w:p>
    <w:p>
      <w:pPr>
        <w:pStyle w:val="Heading1"/>
      </w:pPr>
      <w:r>
        <w:t>Data availability</w:t>
      </w:r>
    </w:p>
    <w:p>
      <w:pPr>
        <w:pStyle w:val="FirstParagraph"/>
      </w:pPr>
      <w:r>
        <w:t>The Vietnam WBES 2009, 2015, and 2023 microdata are publicly available from https://www.enterprisesurveys.org/en/data subject to registration with the Enterprise Analysis Unit and acceptance of the WBES Data Access Protocol. The replication package distributed with this paper (p4_vietnam/) contains the full Stata pipeline that reproduces every coefficient, table, and figure reported above from the public releases.</w:t>
      </w:r>
    </w:p>
    <w:p>
      <w:pPr>
        <w:pStyle w:val="Heading1"/>
      </w:pPr>
      <w:r>
        <w:t>Figures</w:t>
      </w:r>
    </w:p>
    <w:p>
      <w:pPr>
        <w:pStyle w:val="FirstParagraph"/>
      </w:pPr>
      <w:r>
        <w:t>Figure 1. Conceptual model. Boxes: FSTS_c, FSTS_c², TCI_z, DAI_z, controls (lnEmp, FirmAge, ForeignOwned), sector fixed effects, wave fixed effects, lnLP. Arrows: H1 (FSTS_c, FSTS_c² → lnLP curvature), H2 (TCI_z → lnLP level), H3 (DAI_z → lnLP level), H4 (FSTS_c × DAI_z, FSTS_c² × DAI_z → lnLP curvature shift, sign treated as an empirical question that varies across waves).</w:t>
      </w:r>
    </w:p>
    <w:p>
      <w:pPr>
        <w:pStyle w:val="BodyText"/>
      </w:pPr>
      <w:r>
        <w:t>Figure 2. Predicted lnLP across direct-export intensity by wave and pooled. Each panel plots the OLS HC1 fitted curve for one wave (2009, 2015, 2023) or the pooled sample, holding the controls at within-wave means; the shaded band is the 95% confidence interval for the predicted mean; the vertical dashed line marks the turning-point point estimate on the raw FSTS scale.</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Bharadwaj, A., El Sawy, O. A., Pavlou, P. A., &amp; Venkatraman, N. (2013). Digital business strategy: Toward a next generation of insights. MIS Quarterly, 37(2), 471–482. https://doi.org/10.25300/MISQ/2013/37:2.3</w:t>
      </w:r>
    </w:p>
    <w:p>
      <w:pPr>
        <w:pStyle w:val="BodyText"/>
      </w:pPr>
      <w:r>
        <w:t>Cohen, W. M., &amp; Levinthal, D. A. (1990). Absorptive capacity: A new perspective on learning and innovation. Administrative Science Quarterly, 35(1), 128–152. https://doi.org/10.2307/2393553</w:t>
      </w:r>
    </w:p>
    <w:p>
      <w:pPr>
        <w:pStyle w:val="BodyText"/>
      </w:pPr>
      <w:r>
        <w:t>Heckman, J. J. (1979). Sample selection bias as a specification error. Econometrica, 47(1), 153–161. https://doi.org/10.2307/1912352</w:t>
      </w:r>
    </w:p>
    <w:p>
      <w:pPr>
        <w:pStyle w:val="BodyText"/>
      </w:pPr>
      <w:r>
        <w:t>Lall, S. (1992). Technological capabilities and industrialization. World Development, 20(2), 165–186.</w:t>
      </w:r>
    </w:p>
    <w:p>
      <w:pPr>
        <w:pStyle w:val="BodyText"/>
      </w:pPr>
      <w:r>
        <w:t>Lind, J. T., &amp; Mehlum, H. (2010). With or without U? The appropriate test for a U-shaped relationship. Oxford Bulletin of Economics and Statistics, 72(1), 109–118. https://doi.org/10.1111/j.1468-0084.2009.00569.x</w:t>
      </w:r>
    </w:p>
    <w:p>
      <w:pPr>
        <w:pStyle w:val="BodyText"/>
      </w:pPr>
      <w:r>
        <w:t>Marano, V., Arregle, J.-L., Hitt, M. A., Spadafora, E., &amp; van Essen, M. (2016). Home country institutions and the internationalization–performance relationship: A meta-analytic review. Journal of Management, 42(5), 1075–1110. https://doi.org/10.1177/0149206315624963</w:t>
      </w:r>
    </w:p>
    <w:p>
      <w:pPr>
        <w:pStyle w:val="BodyText"/>
      </w:pPr>
      <w:r>
        <w:t>Paternoster, R., Brame, R., Mazerolle, P., &amp; Piquero, A. (1998). Using the correct statistical test for the equality of regression coefficients. Criminology, 36(4), 859–866. https://doi.org/10.1111/j.1745-9125.1998.tb01268.x</w:t>
      </w:r>
    </w:p>
    <w:p>
      <w:pPr>
        <w:pStyle w:val="BodyText"/>
      </w:pPr>
      <w:r>
        <w:t>Verhoef, P. C., Broekhuizen, T., Bart, Y., Bhattacharya, A., Dong, J. Q., Fabian, N., &amp; Haenlein, M. (2021). Digital transformation: A multidisciplinary reflection and research agenda. Journal of Business Research, 122, 889–901. https://doi.org/10.1016/j.jbusres.2019.09.022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