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line="360" w:lineRule="auto"/>
        <w:jc w:val="center"/>
      </w:pPr>
      <w:r>
        <w:rPr>
          <w:rFonts w:ascii="Times New Roman" w:cs="Times New Roman" w:eastAsia="Times New Roman" w:hAnsi="Times New Roman"/>
          <w:b/>
          <w:bCs/>
          <w:sz w:val="26"/>
          <w:szCs w:val="26"/>
        </w:rPr>
        <w:t xml:space="preserve">Technological Capability, Digital Adoption, and the Internationalization–Performance Relationship in Singapore</w:t>
      </w:r>
    </w:p>
    <w:p>
      <w:pPr>
        <w:spacing w:after="160" w:before="280"/>
        <w:jc w:val="left"/>
      </w:pPr>
      <w:r>
        <w:rPr>
          <w:rFonts w:ascii="Times New Roman" w:cs="Times New Roman" w:eastAsia="Times New Roman" w:hAnsi="Times New Roman"/>
          <w:b/>
          <w:bCs/>
          <w:sz w:val="22"/>
          <w:szCs w:val="22"/>
        </w:rPr>
        <w:t xml:space="preserve">Abstract</w:t>
      </w:r>
    </w:p>
    <w:p>
      <w:pPr>
        <w:spacing w:after="0" w:line="480" w:lineRule="auto"/>
        <w:jc w:val="both"/>
      </w:pPr>
      <w:r>
        <w:rPr>
          <w:rFonts w:ascii="Times New Roman" w:cs="Times New Roman" w:eastAsia="Times New Roman" w:hAnsi="Times New Roman"/>
          <w:sz w:val="20"/>
          <w:szCs w:val="20"/>
        </w:rPr>
        <w:t xml:space="preserve">This study examines whether technological capability and digital adoption play distinct roles in shaping the internationalization–performance relationship in a digital-frontier economy. Using World Bank Enterprise Survey microdata for Singapore 2023 (N = 623), the analysis develops a two-construct measurement architecture that separates a Technological Capability Index (TCI), anchored in the Lall (1992) capability tradition, from a Digital Adoption Index (DAI), anchored in the digital strategy and digitalization literature (Bharadwaj et al., 2013; Verhoef et al., 2021). TCI is positively associated with labour productivity but does not moderate the curvature of the internationalization–performance relationship. The baseline internationalization–performance pattern is best characterized as primarily monotonic with mild quadratic curvature within the observed export-intensity range, with no formal support for a conventional inverted-U. DAI, by contrast, shows conditional relevance: its productivity association becomes more positive at higher levels of export intensity, although the evidence is concentrated in the high-export tail rather than distributed uniformly across the sample. These findings suggest that, in a digitally mature institutional environment, digital adoption may matter less as a universal firm-level productivity premium and more as a scale-enabling complement for firms facing more demanding cross-border coordination. The study contributes sharper construct validity and an initial boundary-condition argument for internationalization research in digital-frontier settings.</w:t>
      </w:r>
    </w:p>
    <w:p>
      <w:pPr>
        <w:spacing w:after="120" w:line="480" w:lineRule="auto"/>
        <w:jc w:val="left"/>
      </w:pPr>
      <w:r>
        <w:rPr>
          <w:rFonts w:ascii="Times New Roman" w:cs="Times New Roman" w:eastAsia="Times New Roman" w:hAnsi="Times New Roman"/>
          <w:sz w:val="20"/>
          <w:szCs w:val="20"/>
        </w:rPr>
        <w:t xml:space="preserve"/>
      </w:r>
    </w:p>
    <w:p>
      <w:pPr>
        <w:spacing w:after="0" w:line="480" w:lineRule="auto"/>
        <w:jc w:val="left"/>
      </w:pPr>
      <w:r>
        <w:rPr>
          <w:rFonts w:ascii="Times New Roman" w:cs="Times New Roman" w:eastAsia="Times New Roman" w:hAnsi="Times New Roman"/>
          <w:b/>
          <w:bCs/>
          <w:sz w:val="20"/>
          <w:szCs w:val="20"/>
        </w:rPr>
        <w:t xml:space="preserve">Keywords: internationalization–performance; digital adoption; technological capability; boundary conditions; World Bank Enterprise Survey</w:t>
      </w:r>
    </w:p>
    <w:p>
      <w:pPr>
        <w:spacing w:after="240" w:before="360"/>
        <w:jc w:val="left"/>
      </w:pPr>
      <w:r>
        <w:rPr>
          <w:rFonts w:ascii="Times New Roman" w:cs="Times New Roman" w:eastAsia="Times New Roman" w:hAnsi="Times New Roman"/>
          <w:b/>
          <w:bCs/>
          <w:sz w:val="24"/>
          <w:szCs w:val="24"/>
        </w:rPr>
        <w:t xml:space="preserve">1 Introduction</w:t>
      </w:r>
    </w:p>
    <w:p>
      <w:pPr>
        <w:spacing w:after="160" w:before="280"/>
        <w:jc w:val="left"/>
      </w:pPr>
      <w:r>
        <w:rPr>
          <w:rFonts w:ascii="Times New Roman" w:cs="Times New Roman" w:eastAsia="Times New Roman" w:hAnsi="Times New Roman"/>
          <w:b/>
          <w:bCs/>
          <w:sz w:val="22"/>
          <w:szCs w:val="22"/>
        </w:rPr>
        <w:t xml:space="preserve">1.1 Background and motivation</w:t>
      </w:r>
    </w:p>
    <w:p>
      <w:pPr>
        <w:spacing w:after="0" w:line="480" w:lineRule="auto"/>
        <w:ind w:firstLine="720"/>
        <w:jc w:val="both"/>
      </w:pPr>
      <w:r>
        <w:rPr>
          <w:rFonts w:ascii="Times New Roman" w:cs="Times New Roman" w:eastAsia="Times New Roman" w:hAnsi="Times New Roman"/>
          <w:sz w:val="20"/>
          <w:szCs w:val="20"/>
        </w:rPr>
        <w:t xml:space="preserve">Singapore is among the most digitally advanced economies in Asia: by 2023, more than 90% of Singaporean firms maintained a digital presence and over half processed customer payments digitally (World Bank, 2024). Yet whether firm-level digital adoption translates into productivity returns at the export margin remains unsettled, particularly when firms scale into international markets. The internationalization–performance (I–P) literature has converged on the modal finding of an inverted-U relationship (Contractor et al., 2003; Hitt et al., 1997; Lu &amp; Beamish, 2004), but this literature was developed largely on samples from pre-digital or transitional-digital economies and may not capture how the I–P curvature behaves when firms operate in a digitally mature institutional environment.</w:t>
      </w:r>
    </w:p>
    <w:p>
      <w:pPr>
        <w:spacing w:after="0" w:line="480" w:lineRule="auto"/>
        <w:ind w:firstLine="720"/>
        <w:jc w:val="both"/>
      </w:pPr>
      <w:r>
        <w:rPr>
          <w:rFonts w:ascii="Times New Roman" w:cs="Times New Roman" w:eastAsia="Times New Roman" w:hAnsi="Times New Roman"/>
          <w:sz w:val="20"/>
          <w:szCs w:val="20"/>
        </w:rPr>
        <w:t xml:space="preserve">In a digitally mature economy, two distinct firm-level capabilities operate simultaneously. Technological capability — firm-internal capability depth in R&amp;D, innovation, and quality — follows the Lall (1992) tradition and the Cohen and Levinthal (1990) absorptive-capacity logic. Digital adoption — firm participation in cross-border digital infrastructure and digital transactions — follows the digital strategy tradition (Bharadwaj et al., 2013; Verhoef et al., 2021). Whether these two capabilities play distinct or overlapping roles in shaping firm productivity at different stages of internationalization is, ex ante, an empirical question.</w:t>
      </w:r>
    </w:p>
    <w:p>
      <w:pPr>
        <w:spacing w:after="160" w:before="280"/>
        <w:jc w:val="left"/>
      </w:pPr>
      <w:r>
        <w:rPr>
          <w:rFonts w:ascii="Times New Roman" w:cs="Times New Roman" w:eastAsia="Times New Roman" w:hAnsi="Times New Roman"/>
          <w:b/>
          <w:bCs/>
          <w:sz w:val="22"/>
          <w:szCs w:val="22"/>
        </w:rPr>
        <w:t xml:space="preserve">1.2 Research gap</w:t>
      </w:r>
    </w:p>
    <w:p>
      <w:pPr>
        <w:spacing w:after="0" w:line="480" w:lineRule="auto"/>
        <w:ind w:firstLine="720"/>
        <w:jc w:val="both"/>
      </w:pPr>
      <w:r>
        <w:rPr>
          <w:rFonts w:ascii="Times New Roman" w:cs="Times New Roman" w:eastAsia="Times New Roman" w:hAnsi="Times New Roman"/>
          <w:sz w:val="20"/>
          <w:szCs w:val="20"/>
        </w:rPr>
        <w:t xml:space="preserve">Three gaps in the literature motivate this study. First, the dominant measurement approach has tended to conflate digital adoption with broader technological capability, obscuring whether observed empirical patterns derive from firm-internal capability depth or firm–environment digital integration (Verhoef et al., 2021). Second, recent empirical work on digital internationalization has either pooled firms across heterogeneous institutional contexts (Banalieva &amp; Dhanaraj, 2019; Stallkamp &amp; Schotter, 2021) or focused on multinational subsamples, leaving the within-economy firm-level question — how digital adoption interacts with export intensity in a single, digitally mature institutional environment — under-examined. Third, the I–P curvature literature has documented inverted-U patterns extensively but has under-theorized how the underlying coordination-cost mechanism behaves in environments where cross-border digital infrastructure is mature (Marano et al., 2016).</w:t>
      </w:r>
    </w:p>
    <w:p>
      <w:pPr>
        <w:spacing w:after="160" w:before="280"/>
        <w:jc w:val="left"/>
      </w:pPr>
      <w:r>
        <w:rPr>
          <w:rFonts w:ascii="Times New Roman" w:cs="Times New Roman" w:eastAsia="Times New Roman" w:hAnsi="Times New Roman"/>
          <w:b/>
          <w:bCs/>
          <w:sz w:val="22"/>
          <w:szCs w:val="22"/>
        </w:rPr>
        <w:t xml:space="preserve">1.3 Contribution</w:t>
      </w:r>
    </w:p>
    <w:p>
      <w:pPr>
        <w:spacing w:after="0" w:line="480" w:lineRule="auto"/>
        <w:ind w:firstLine="720"/>
        <w:jc w:val="both"/>
      </w:pPr>
      <w:r>
        <w:rPr>
          <w:rFonts w:ascii="Times New Roman" w:cs="Times New Roman" w:eastAsia="Times New Roman" w:hAnsi="Times New Roman"/>
          <w:sz w:val="20"/>
          <w:szCs w:val="20"/>
        </w:rPr>
        <w:t xml:space="preserve">We make three contributions. First, we sharpen construct validity in digital-internationalization research by distinguishing technological capability from digital adoption rather than combining them into a single umbrella construct. This distinction matters because the two constructs capture analytically different sources of firm heterogeneity: technological capability reflects internal capability depth, whereas digital adoption reflects firms' uptake of digitally enabled interfaces and transaction mechanisms.</w:t>
      </w:r>
    </w:p>
    <w:p>
      <w:pPr>
        <w:spacing w:after="0" w:line="480" w:lineRule="auto"/>
        <w:ind w:firstLine="720"/>
        <w:jc w:val="both"/>
      </w:pPr>
      <w:r>
        <w:rPr>
          <w:rFonts w:ascii="Times New Roman" w:cs="Times New Roman" w:eastAsia="Times New Roman" w:hAnsi="Times New Roman"/>
          <w:sz w:val="20"/>
          <w:szCs w:val="20"/>
        </w:rPr>
        <w:t xml:space="preserve">Second, we provide a firm-level test of the internationalization–performance relationship using WBES 2023 microdata and show that the conventional inverted-U is not formally supported within the observed export-intensity range. Rather than overturning the established I–P literature, this finding helps refine its boundary conditions by suggesting that, in a digitally mature institutional environment, the right-side decline of the curve may be attenuated or shifted toward sparsely populated levels of export intensity.</w:t>
      </w:r>
    </w:p>
    <w:p>
      <w:pPr>
        <w:spacing w:after="0" w:line="480" w:lineRule="auto"/>
        <w:ind w:firstLine="720"/>
        <w:jc w:val="both"/>
      </w:pPr>
      <w:r>
        <w:rPr>
          <w:rFonts w:ascii="Times New Roman" w:cs="Times New Roman" w:eastAsia="Times New Roman" w:hAnsi="Times New Roman"/>
          <w:sz w:val="20"/>
          <w:szCs w:val="20"/>
        </w:rPr>
        <w:t xml:space="preserve">Third, we show that digital adoption in a digital-frontier economy is better understood as a scale-contingent complement than as a uniform firm-level productivity premium. Its productivity relevance becomes more visible at higher levels of export intensity, where digital systems can be leveraged across a broader set of cross-border transactions and coordination demands. This contributes an initial boundary-condition argument for internationalization research in digitally mature settings and clarifies why digital adoption should be treated separately from technological capability in firm-level models.</w:t>
      </w:r>
    </w:p>
    <w:p>
      <w:pPr>
        <w:spacing w:after="160" w:before="280"/>
        <w:jc w:val="left"/>
      </w:pPr>
      <w:r>
        <w:rPr>
          <w:rFonts w:ascii="Times New Roman" w:cs="Times New Roman" w:eastAsia="Times New Roman" w:hAnsi="Times New Roman"/>
          <w:b/>
          <w:bCs/>
          <w:sz w:val="22"/>
          <w:szCs w:val="22"/>
        </w:rPr>
        <w:t xml:space="preserve">1.4 Roadmap</w:t>
      </w:r>
    </w:p>
    <w:p>
      <w:pPr>
        <w:spacing w:after="0" w:line="480" w:lineRule="auto"/>
        <w:ind w:firstLine="720"/>
        <w:jc w:val="both"/>
      </w:pPr>
      <w:r>
        <w:rPr>
          <w:rFonts w:ascii="Times New Roman" w:cs="Times New Roman" w:eastAsia="Times New Roman" w:hAnsi="Times New Roman"/>
          <w:sz w:val="20"/>
          <w:szCs w:val="20"/>
        </w:rPr>
        <w:t xml:space="preserve">Section 2 develops the theoretical framework and four hypotheses. Section 3 describes data and methods. Section 4 reports results. Section 5 discusses theoretical and managerial implications. Section 6 acknowledges limitations and future research directions.</w:t>
      </w:r>
    </w:p>
    <w:p>
      <w:pPr>
        <w:spacing w:after="240" w:before="360"/>
        <w:jc w:val="left"/>
      </w:pPr>
      <w:r>
        <w:rPr>
          <w:rFonts w:ascii="Times New Roman" w:cs="Times New Roman" w:eastAsia="Times New Roman" w:hAnsi="Times New Roman"/>
          <w:b/>
          <w:bCs/>
          <w:sz w:val="24"/>
          <w:szCs w:val="24"/>
        </w:rPr>
        <w:t xml:space="preserve">2 Theory and Hypotheses</w:t>
      </w:r>
    </w:p>
    <w:p>
      <w:pPr>
        <w:spacing w:after="160" w:before="280"/>
        <w:jc w:val="left"/>
      </w:pPr>
      <w:r>
        <w:rPr>
          <w:rFonts w:ascii="Times New Roman" w:cs="Times New Roman" w:eastAsia="Times New Roman" w:hAnsi="Times New Roman"/>
          <w:b/>
          <w:bCs/>
          <w:sz w:val="22"/>
          <w:szCs w:val="22"/>
        </w:rPr>
        <w:t xml:space="preserve">2.1 The internationalization–performance relationship</w:t>
      </w:r>
    </w:p>
    <w:p>
      <w:pPr>
        <w:spacing w:after="0" w:line="480" w:lineRule="auto"/>
        <w:ind w:firstLine="720"/>
        <w:jc w:val="both"/>
      </w:pPr>
      <w:r>
        <w:rPr>
          <w:rFonts w:ascii="Times New Roman" w:cs="Times New Roman" w:eastAsia="Times New Roman" w:hAnsi="Times New Roman"/>
          <w:sz w:val="20"/>
          <w:szCs w:val="20"/>
        </w:rPr>
        <w:t xml:space="preserve">The I–P literature has produced extensive evidence of nonlinear relationships between the degree of internationalization and firm performance. Hitt et al. (1997) introduced the inverted-U logic: initial internationalization yields scale and learning benefits, but at high export intensities firms encounter cognitive and coordination ceilings that erode the returns to further expansion. Contractor et al. (2003) extended this logic to a three-stage S-curve, and Lu and Beamish (2004) refined the inverted-U with attention to firm size and age effects. The modal pattern across this literature is an inverted-U with a turning point in the 30%–60% foreign-sales-to-total-sales (FSTS) range (Marano et al., 2016).</w:t>
      </w:r>
    </w:p>
    <w:p>
      <w:pPr>
        <w:spacing w:after="0" w:line="480" w:lineRule="auto"/>
        <w:ind w:firstLine="720"/>
        <w:jc w:val="both"/>
      </w:pPr>
      <w:r>
        <w:rPr>
          <w:rFonts w:ascii="Times New Roman" w:cs="Times New Roman" w:eastAsia="Times New Roman" w:hAnsi="Times New Roman"/>
          <w:sz w:val="20"/>
          <w:szCs w:val="20"/>
        </w:rPr>
        <w:t xml:space="preserve">A boundary condition implicit in this literature, but rarely articulated, is that the inverted-U requires a coordination-cost mechanism that scales with internationalization intensity. If a firm operates in an institutional environment where coordination costs have already been substantially attenuated — for example, by mature cross-border digital infrastructure — the right-side decline of the inverted-U may be flattened or shifted to levels of internationalization that are sparsely represented in the observed FSTS distribution. Singapore is a natural setting in which to examine how these boundary conditions operate at the firm level.</w:t>
      </w:r>
    </w:p>
    <w:p>
      <w:pPr>
        <w:spacing w:after="160" w:before="280"/>
        <w:jc w:val="left"/>
      </w:pPr>
      <w:r>
        <w:rPr>
          <w:rFonts w:ascii="Times New Roman" w:cs="Times New Roman" w:eastAsia="Times New Roman" w:hAnsi="Times New Roman"/>
          <w:b/>
          <w:bCs/>
          <w:sz w:val="22"/>
          <w:szCs w:val="22"/>
        </w:rPr>
        <w:t xml:space="preserve">2.2 Two distinct constructs: TCI and DAI</w:t>
      </w:r>
    </w:p>
    <w:p>
      <w:pPr>
        <w:spacing w:after="0" w:line="480" w:lineRule="auto"/>
        <w:ind w:firstLine="720"/>
        <w:jc w:val="both"/>
      </w:pPr>
      <w:r>
        <w:rPr>
          <w:rFonts w:ascii="Times New Roman" w:cs="Times New Roman" w:eastAsia="Times New Roman" w:hAnsi="Times New Roman"/>
          <w:sz w:val="20"/>
          <w:szCs w:val="20"/>
        </w:rPr>
        <w:t xml:space="preserve">A recurring problem in the digital international business literature is the tendency to collapse technologically heterogeneous firm attributes into a single umbrella construct, thereby blurring the distinction between internal capability depth and digitally enabled market participation (Verhoef et al., 2021). This study departs from that practice by distinguishing a Technological Capability Index (TCI), anchored in the Lall–Cohen-Levinthal capability tradition (Cohen &amp; Levinthal, 1990; Lall, 1992), from a Digital Adoption Index (DAI), anchored in the Bharadwaj–Verhoef digitalization tradition (Bharadwaj et al., 2013; Verhoef et al., 2021).</w:t>
      </w:r>
    </w:p>
    <w:p>
      <w:pPr>
        <w:spacing w:after="0" w:line="480" w:lineRule="auto"/>
        <w:ind w:firstLine="720"/>
        <w:jc w:val="both"/>
      </w:pPr>
      <w:r>
        <w:rPr>
          <w:rFonts w:ascii="Times New Roman" w:cs="Times New Roman" w:eastAsia="Times New Roman" w:hAnsi="Times New Roman"/>
          <w:sz w:val="20"/>
          <w:szCs w:val="20"/>
        </w:rPr>
        <w:t xml:space="preserve">The distinction is theoretically necessary because the two constructs refer to different domains of firm advantage. TCI captures internal capability stocks related to innovation, learning, and technology absorption, drawing on the absorptive-capacity logic of Cohen and Levinthal (1990) and the technological-capability tradition of Lall (1992). DAI, by contrast, captures the firm's uptake of digital interfaces and transaction-enabling mechanisms (Bharadwaj et al., 2013), reflecting a more environmentally contingent form of firm advantage that depends on the maturity of the surrounding digital ecosystem (Verhoef et al., 2021).</w:t>
      </w:r>
    </w:p>
    <w:p>
      <w:pPr>
        <w:spacing w:after="0" w:line="480" w:lineRule="auto"/>
        <w:ind w:firstLine="720"/>
        <w:jc w:val="both"/>
      </w:pPr>
      <w:r>
        <w:rPr>
          <w:rFonts w:ascii="Times New Roman" w:cs="Times New Roman" w:eastAsia="Times New Roman" w:hAnsi="Times New Roman"/>
          <w:sz w:val="20"/>
          <w:szCs w:val="20"/>
        </w:rPr>
        <w:t xml:space="preserve">Equally important, the label "digital adoption" is more defensible than "digital capability" in the present empirical setting because the WBES indicators available here map primarily onto basic digital presence and digital transaction usage rather than deeper digitally integrated organizational processes. In the hierarchy summarized in Verhoef et al. (2021), the available indicators correspond more closely to Tier 1–2 digitalization (digital infrastructure and digital adoption) than to Tier 3–4 digital capability or digital dynamic capability. Retaining a broad "digital capability" label would therefore overstate what the underlying indicators can legitimately support, whereas the DAI label improves construct validity by aligning the variable name with the actual content domain of the observed measures. Methodologically, the two constructs satisfy the Coltman et al. (2008) four-criterion test for formative measurement and should not be combined into a single composite.</w:t>
      </w:r>
    </w:p>
    <w:p>
      <w:pPr>
        <w:spacing w:after="160" w:before="280"/>
        <w:jc w:val="left"/>
      </w:pPr>
      <w:r>
        <w:rPr>
          <w:rFonts w:ascii="Times New Roman" w:cs="Times New Roman" w:eastAsia="Times New Roman" w:hAnsi="Times New Roman"/>
          <w:b/>
          <w:bCs/>
          <w:sz w:val="22"/>
          <w:szCs w:val="22"/>
        </w:rPr>
        <w:t xml:space="preserve">2.3 Hypothesis development</w:t>
      </w:r>
    </w:p>
    <w:p>
      <w:pPr>
        <w:spacing w:after="120" w:before="240"/>
        <w:jc w:val="left"/>
      </w:pPr>
      <w:r>
        <w:rPr>
          <w:rFonts w:ascii="Times New Roman" w:cs="Times New Roman" w:eastAsia="Times New Roman" w:hAnsi="Times New Roman"/>
          <w:b/>
          <w:bCs/>
          <w:i/>
          <w:iCs/>
          <w:sz w:val="20"/>
          <w:szCs w:val="20"/>
        </w:rPr>
        <w:t xml:space="preserve">2.3.1 TCI direct effect on productivity</w:t>
      </w:r>
    </w:p>
    <w:p>
      <w:pPr>
        <w:spacing w:after="0" w:line="480" w:lineRule="auto"/>
        <w:ind w:firstLine="720"/>
        <w:jc w:val="both"/>
      </w:pPr>
      <w:r>
        <w:rPr>
          <w:rFonts w:ascii="Times New Roman" w:cs="Times New Roman" w:eastAsia="Times New Roman" w:hAnsi="Times New Roman"/>
          <w:sz w:val="20"/>
          <w:szCs w:val="20"/>
        </w:rPr>
        <w:t xml:space="preserve">Following the Lall (1992) capability tradition and the Cohen and Levinthal (1990) absorptive-capacity logic, firms with deeper technological capability should produce more output per unit of labour input regardless of internationalization stage. Technological capability reflects firm-internal investments in R&amp;D, innovation, foreign technology licensing, and quality certification — all of which raise the productivity floor by enhancing operational efficiency, product quality, and learning routines (Avenyo et al., 2021; Krammer et al., 2018).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1 (H1). </w:t>
      </w:r>
      <w:r>
        <w:rPr>
          <w:rFonts w:ascii="Times New Roman" w:cs="Times New Roman" w:eastAsia="Times New Roman" w:hAnsi="Times New Roman"/>
          <w:i/>
          <w:iCs/>
          <w:sz w:val="20"/>
          <w:szCs w:val="20"/>
        </w:rPr>
        <w:t xml:space="preserve">Technological capability (TCI) is positively associated with firm productivity in Singapore.</w:t>
      </w:r>
    </w:p>
    <w:p>
      <w:pPr>
        <w:spacing w:after="120" w:before="240"/>
        <w:jc w:val="left"/>
      </w:pPr>
      <w:r>
        <w:rPr>
          <w:rFonts w:ascii="Times New Roman" w:cs="Times New Roman" w:eastAsia="Times New Roman" w:hAnsi="Times New Roman"/>
          <w:b/>
          <w:bCs/>
          <w:i/>
          <w:iCs/>
          <w:sz w:val="20"/>
          <w:szCs w:val="20"/>
        </w:rPr>
        <w:t xml:space="preserve">2.3.2 TCI moderation of the I–P relationship</w:t>
      </w:r>
    </w:p>
    <w:p>
      <w:pPr>
        <w:spacing w:after="0" w:line="480" w:lineRule="auto"/>
        <w:ind w:firstLine="720"/>
        <w:jc w:val="both"/>
      </w:pPr>
      <w:r>
        <w:rPr>
          <w:rFonts w:ascii="Times New Roman" w:cs="Times New Roman" w:eastAsia="Times New Roman" w:hAnsi="Times New Roman"/>
          <w:sz w:val="20"/>
          <w:szCs w:val="20"/>
        </w:rPr>
        <w:t xml:space="preserve">A subtler prediction emerges from Rugman and Verbeke's (2004) non-location-bound firm-specific advantage (NLB-FSA) logic. Technological capabilities are firm-specific advantages that are recombinable across borders without significant adaptation cost. While TCI should raise the productivity intercept (H1), it should not interact with internationalization intensity to shift the I–P curvature, because the underlying capability depth is similarly available to the firm at all stages of export expansion.</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2 (H2). </w:t>
      </w:r>
      <w:r>
        <w:rPr>
          <w:rFonts w:ascii="Times New Roman" w:cs="Times New Roman" w:eastAsia="Times New Roman" w:hAnsi="Times New Roman"/>
          <w:i/>
          <w:iCs/>
          <w:sz w:val="20"/>
          <w:szCs w:val="20"/>
        </w:rPr>
        <w:t xml:space="preserve">Technological capability (TCI) does not moderate the curvature of the internationalization–performance relationship in Singapore.</w:t>
      </w:r>
    </w:p>
    <w:p>
      <w:pPr>
        <w:spacing w:after="120" w:before="240"/>
        <w:jc w:val="left"/>
      </w:pPr>
      <w:r>
        <w:rPr>
          <w:rFonts w:ascii="Times New Roman" w:cs="Times New Roman" w:eastAsia="Times New Roman" w:hAnsi="Times New Roman"/>
          <w:b/>
          <w:bCs/>
          <w:i/>
          <w:iCs/>
          <w:sz w:val="20"/>
          <w:szCs w:val="20"/>
        </w:rPr>
        <w:t xml:space="preserve">2.3.3 DAI direct effect on productivity</w:t>
      </w:r>
    </w:p>
    <w:p>
      <w:pPr>
        <w:spacing w:after="0" w:line="480" w:lineRule="auto"/>
        <w:ind w:firstLine="720"/>
        <w:jc w:val="both"/>
      </w:pPr>
      <w:r>
        <w:rPr>
          <w:rFonts w:ascii="Times New Roman" w:cs="Times New Roman" w:eastAsia="Times New Roman" w:hAnsi="Times New Roman"/>
          <w:sz w:val="20"/>
          <w:szCs w:val="20"/>
        </w:rPr>
        <w:t xml:space="preserve">Digital adoption should generate productivity returns through reduced transaction costs, faster information flow, and broader market reach (Bharadwaj et al., 2013; Verhoef et al., 2021). At the digital frontier, where cross-border digital infrastructure is mature, these productivity returns should be readily realized at the direct effect level, even before considering interactions with internationalization intensity.</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3 (H3). </w:t>
      </w:r>
      <w:r>
        <w:rPr>
          <w:rFonts w:ascii="Times New Roman" w:cs="Times New Roman" w:eastAsia="Times New Roman" w:hAnsi="Times New Roman"/>
          <w:i/>
          <w:iCs/>
          <w:sz w:val="20"/>
          <w:szCs w:val="20"/>
        </w:rPr>
        <w:t xml:space="preserve">Digital adoption (DAI) is positively associated with firm productivity in Singapore.</w:t>
      </w:r>
    </w:p>
    <w:p>
      <w:pPr>
        <w:spacing w:after="120" w:before="240"/>
        <w:jc w:val="left"/>
      </w:pPr>
      <w:r>
        <w:rPr>
          <w:rFonts w:ascii="Times New Roman" w:cs="Times New Roman" w:eastAsia="Times New Roman" w:hAnsi="Times New Roman"/>
          <w:b/>
          <w:bCs/>
          <w:i/>
          <w:iCs/>
          <w:sz w:val="20"/>
          <w:szCs w:val="20"/>
        </w:rPr>
        <w:t xml:space="preserve">2.3.4 DAI as a conditional complement to export intensity</w:t>
      </w:r>
    </w:p>
    <w:p>
      <w:pPr>
        <w:spacing w:after="0" w:line="480" w:lineRule="auto"/>
        <w:ind w:firstLine="720"/>
        <w:jc w:val="both"/>
      </w:pPr>
      <w:r>
        <w:rPr>
          <w:rFonts w:ascii="Times New Roman" w:cs="Times New Roman" w:eastAsia="Times New Roman" w:hAnsi="Times New Roman"/>
          <w:sz w:val="20"/>
          <w:szCs w:val="20"/>
        </w:rPr>
        <w:t xml:space="preserve">The most theoretically novel prediction concerns how digital adoption interacts with export intensity in a digitally mature institutional environment. In such settings, digital infrastructure may no longer generate a uniform productivity premium across all firms because basic digital functionality is already widely available. Its value may instead become more contingent on the scale and complexity of cross-border operations. Firms with high export intensity face greater coordination, transaction, and information-processing demands across markets, making digital adoption more valuable as a scale-enabling complement (Brynjolfsson et al., 2021). By contrast, firms with low export intensity may realize weaker productivity benefits because they have fewer opportunities to amortize digital investments across international operations. The relationship is expected to be nonlinear, with digital adoption's productivity returns concentrated at the upper end of internationalization rather than uniformly distributed across export intensity. The marginal productivity of digital adoption is thus contingent on the extent to which cross-border complexity makes digital systems economically consequential. We therefore hypothesize:</w:t>
      </w:r>
    </w:p>
    <w:p>
      <w:pPr>
        <w:spacing w:after="240" w:before="240" w:line="480" w:lineRule="auto"/>
        <w:ind w:left="720" w:right="720"/>
        <w:jc w:val="both"/>
      </w:pPr>
      <w:r>
        <w:rPr>
          <w:rFonts w:ascii="Times New Roman" w:cs="Times New Roman" w:eastAsia="Times New Roman" w:hAnsi="Times New Roman"/>
          <w:b/>
          <w:bCs/>
          <w:sz w:val="20"/>
          <w:szCs w:val="20"/>
        </w:rPr>
        <w:t xml:space="preserve">Hypothesis 4 (H4). </w:t>
      </w:r>
      <w:r>
        <w:rPr>
          <w:rFonts w:ascii="Times New Roman" w:cs="Times New Roman" w:eastAsia="Times New Roman" w:hAnsi="Times New Roman"/>
          <w:i/>
          <w:iCs/>
          <w:sz w:val="20"/>
          <w:szCs w:val="20"/>
        </w:rPr>
        <w:t xml:space="preserve">The association between digital adoption (DAI) and firm productivity becomes more positive at higher levels of export intensity in Singapore.</w:t>
      </w:r>
    </w:p>
    <w:p>
      <w:pPr>
        <w:spacing w:after="160" w:before="280"/>
        <w:jc w:val="left"/>
      </w:pPr>
      <w:r>
        <w:rPr>
          <w:rFonts w:ascii="Times New Roman" w:cs="Times New Roman" w:eastAsia="Times New Roman" w:hAnsi="Times New Roman"/>
          <w:b/>
          <w:bCs/>
          <w:sz w:val="22"/>
          <w:szCs w:val="22"/>
        </w:rPr>
        <w:t xml:space="preserve">2.4 Conceptual model</w:t>
      </w:r>
    </w:p>
    <w:p>
      <w:pPr>
        <w:spacing w:after="0" w:line="480" w:lineRule="auto"/>
        <w:ind w:firstLine="720"/>
        <w:jc w:val="both"/>
      </w:pPr>
      <w:r>
        <w:rPr>
          <w:rFonts w:ascii="Times New Roman" w:cs="Times New Roman" w:eastAsia="Times New Roman" w:hAnsi="Times New Roman"/>
          <w:sz w:val="20"/>
          <w:szCs w:val="20"/>
        </w:rPr>
        <w:t xml:space="preserve">Figure 1 summarizes the conceptual model. The model represents TCI and DAI as analytically distinct firm-level constructs, each with a direct association with firm productivity (H1 and H3). TCI is hypothesized to raise the productivity intercept without reshaping the I–P curvature (H2), whereas DAI is hypothesized to interact with export intensity such that its productivity association strengthens at higher levels of FSTS (H4). The whole model is positioned within a digital-frontier institutional environment as the relevant boundary condition.</w:t>
      </w:r>
    </w:p>
    <w:p>
      <w:pPr>
        <w:spacing w:after="120" w:before="240"/>
        <w:jc w:val="center"/>
      </w:pPr>
      <w:r>
        <w:drawing>
          <wp:inline distT="0" distB="0" distL="0" distR="0">
            <wp:extent cx="51435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3429000"/>
                    </a:xfrm>
                    <a:prstGeom prst="rect">
                      <a:avLst/>
                    </a:prstGeom>
                  </pic:spPr>
                </pic:pic>
              </a:graphicData>
            </a:graphic>
          </wp:inline>
        </w:drawing>
      </w:r>
    </w:p>
    <w:p>
      <w:pPr>
        <w:spacing w:after="240" w:line="280" w:lineRule="auto"/>
        <w:jc w:val="center"/>
      </w:pPr>
      <w:r>
        <w:rPr>
          <w:rFonts w:ascii="Times New Roman" w:cs="Times New Roman" w:eastAsia="Times New Roman" w:hAnsi="Times New Roman"/>
          <w:i/>
          <w:iCs/>
          <w:sz w:val="18"/>
          <w:szCs w:val="18"/>
        </w:rPr>
        <w:t xml:space="preserve">Figure 1. Conceptual model: Technological capability, digital adoption, and the internationalization–performance relationship.</w:t>
      </w:r>
    </w:p>
    <w:p>
      <w:pPr>
        <w:spacing w:after="240" w:before="360"/>
        <w:jc w:val="left"/>
      </w:pPr>
      <w:r>
        <w:rPr>
          <w:rFonts w:ascii="Times New Roman" w:cs="Times New Roman" w:eastAsia="Times New Roman" w:hAnsi="Times New Roman"/>
          <w:b/>
          <w:bCs/>
          <w:sz w:val="24"/>
          <w:szCs w:val="24"/>
        </w:rPr>
        <w:t xml:space="preserve">3 Methods</w:t>
      </w:r>
    </w:p>
    <w:p>
      <w:pPr>
        <w:spacing w:after="160" w:before="280"/>
        <w:jc w:val="left"/>
      </w:pPr>
      <w:r>
        <w:rPr>
          <w:rFonts w:ascii="Times New Roman" w:cs="Times New Roman" w:eastAsia="Times New Roman" w:hAnsi="Times New Roman"/>
          <w:b/>
          <w:bCs/>
          <w:sz w:val="22"/>
          <w:szCs w:val="22"/>
        </w:rPr>
        <w:t xml:space="preserve">3.1 Data</w:t>
      </w:r>
    </w:p>
    <w:p>
      <w:pPr>
        <w:spacing w:after="0" w:line="480" w:lineRule="auto"/>
        <w:ind w:firstLine="720"/>
        <w:jc w:val="both"/>
      </w:pPr>
      <w:r>
        <w:rPr>
          <w:rFonts w:ascii="Times New Roman" w:cs="Times New Roman" w:eastAsia="Times New Roman" w:hAnsi="Times New Roman"/>
          <w:sz w:val="20"/>
          <w:szCs w:val="20"/>
        </w:rPr>
        <w:t xml:space="preserve">We use the World Bank Enterprise Survey (WBES) Singapore 2023 wave, the most recent firm-level microdata available for Singapore. The WBES 2023 wave was administered under the B-READY methodology, which expanded the digital-adoption module to include items on electronic-payment penetration. After listwise deletion on focal variables, the analytic sample is N = 623 firms across all major sectors. Manufacturing accounts for approximately 31% of the sample, retail and other services for 50%, and other sectors for 19%. Eighteen percent of firms have non-zero exports (FSTS &gt; 0), and only 3% have FSTS exceeding 50%. Descriptive statistics and pairwise correlations are reported in Table 1.</w:t>
      </w:r>
    </w:p>
    <w:p>
      <w:pPr>
        <w:spacing w:after="160" w:before="280"/>
        <w:jc w:val="left"/>
      </w:pPr>
      <w:r>
        <w:rPr>
          <w:rFonts w:ascii="Times New Roman" w:cs="Times New Roman" w:eastAsia="Times New Roman" w:hAnsi="Times New Roman"/>
          <w:b/>
          <w:bCs/>
          <w:sz w:val="22"/>
          <w:szCs w:val="22"/>
        </w:rPr>
        <w:t xml:space="preserve">3.2 Variables</w:t>
      </w:r>
    </w:p>
    <w:p>
      <w:pPr>
        <w:spacing w:after="120" w:before="240"/>
        <w:jc w:val="left"/>
      </w:pPr>
      <w:r>
        <w:rPr>
          <w:rFonts w:ascii="Times New Roman" w:cs="Times New Roman" w:eastAsia="Times New Roman" w:hAnsi="Times New Roman"/>
          <w:b/>
          <w:bCs/>
          <w:i/>
          <w:iCs/>
          <w:sz w:val="20"/>
          <w:szCs w:val="20"/>
        </w:rPr>
        <w:t xml:space="preserve">3.2.1 Dependent variable</w:t>
      </w:r>
    </w:p>
    <w:p>
      <w:pPr>
        <w:spacing w:after="0" w:line="480" w:lineRule="auto"/>
        <w:ind w:firstLine="720"/>
        <w:jc w:val="both"/>
      </w:pPr>
      <w:r>
        <w:rPr>
          <w:rFonts w:ascii="Times New Roman" w:cs="Times New Roman" w:eastAsia="Times New Roman" w:hAnsi="Times New Roman"/>
          <w:sz w:val="20"/>
          <w:szCs w:val="20"/>
        </w:rPr>
        <w:t xml:space="preserve">Labour productivity is measured as ln(annual sales / full-time employees), constructed from WBES items d2 (annual sales) and l1 (full-time employees), following Krammer et al. (2018). Annual sales are deflated using the 2023 reference and expressed in constant Singapore dollars. The variable is winsorized at the 1st and 99th percentiles to reduce sensitivity to extreme values.</w:t>
      </w:r>
    </w:p>
    <w:p>
      <w:pPr>
        <w:spacing w:after="120" w:before="240"/>
        <w:jc w:val="left"/>
      </w:pPr>
      <w:r>
        <w:rPr>
          <w:rFonts w:ascii="Times New Roman" w:cs="Times New Roman" w:eastAsia="Times New Roman" w:hAnsi="Times New Roman"/>
          <w:b/>
          <w:bCs/>
          <w:i/>
          <w:iCs/>
          <w:sz w:val="20"/>
          <w:szCs w:val="20"/>
        </w:rPr>
        <w:t xml:space="preserve">3.2.2 Focal independent variable</w:t>
      </w:r>
    </w:p>
    <w:p>
      <w:pPr>
        <w:spacing w:after="0" w:line="480" w:lineRule="auto"/>
        <w:ind w:firstLine="720"/>
        <w:jc w:val="both"/>
      </w:pPr>
      <w:r>
        <w:rPr>
          <w:rFonts w:ascii="Times New Roman" w:cs="Times New Roman" w:eastAsia="Times New Roman" w:hAnsi="Times New Roman"/>
          <w:sz w:val="20"/>
          <w:szCs w:val="20"/>
        </w:rPr>
        <w:t xml:space="preserve">Foreign-sales-to-total-sales (FSTS) is the proportion of annual sales from direct exports, derived from WBES item d3c and rescaled to the [0, 1] interval. FSTS is mean-centered before squaring (Aiken &amp; West, 1991) to mitigate multicollinearity with the linear term. Variance inflation factors after centering remain below 3 in all specifications.</w:t>
      </w:r>
    </w:p>
    <w:p>
      <w:pPr>
        <w:spacing w:after="120" w:before="240"/>
        <w:jc w:val="left"/>
      </w:pPr>
      <w:r>
        <w:rPr>
          <w:rFonts w:ascii="Times New Roman" w:cs="Times New Roman" w:eastAsia="Times New Roman" w:hAnsi="Times New Roman"/>
          <w:b/>
          <w:bCs/>
          <w:i/>
          <w:iCs/>
          <w:sz w:val="20"/>
          <w:szCs w:val="20"/>
        </w:rPr>
        <w:t xml:space="preserve">3.2.3 TCI and DAI composites</w:t>
      </w:r>
    </w:p>
    <w:p>
      <w:pPr>
        <w:spacing w:after="0" w:line="480" w:lineRule="auto"/>
        <w:ind w:firstLine="720"/>
        <w:jc w:val="both"/>
      </w:pPr>
      <w:r>
        <w:rPr>
          <w:rFonts w:ascii="Times New Roman" w:cs="Times New Roman" w:eastAsia="Times New Roman" w:hAnsi="Times New Roman"/>
          <w:sz w:val="20"/>
          <w:szCs w:val="20"/>
        </w:rPr>
        <w:t xml:space="preserve">TCI and DAI are specified as formative composites rather than reflective scales because their indicators jointly constitute the construct and are not interchangeable manifestations of a single latent trait (Coltman et al., 2008). For TCI, the component items capture distinct dimensions of technological capability in the Lall (1992) tradition, including external technology linkage (WBES item e6, foreign-licensed technology), innovation output (h1, product innovation in the last three years), absorptive-capacity-building effort (h8, R&amp;D spending), and operational mastery via quality certification (b8, ISO/quality certification). For DAI, the component items capture the firm's degree of participation in digital infrastructure and digital transactions, including website or digital presence (c22b), percentage of sales received via electronic payment (k33), and percentage of supplier payments via electronic payment (k38).</w:t>
      </w:r>
    </w:p>
    <w:p>
      <w:pPr>
        <w:spacing w:after="0" w:line="480" w:lineRule="auto"/>
        <w:ind w:firstLine="720"/>
        <w:jc w:val="both"/>
      </w:pPr>
      <w:r>
        <w:rPr>
          <w:rFonts w:ascii="Times New Roman" w:cs="Times New Roman" w:eastAsia="Times New Roman" w:hAnsi="Times New Roman"/>
          <w:sz w:val="20"/>
          <w:szCs w:val="20"/>
        </w:rPr>
        <w:t xml:space="preserve">The label Digital Adoption Index is preferred over broader alternatives such as digital capability because the indicators capture firms' adoption of digital interfaces and transaction-enabling mechanisms rather than deeper digitally integrated organizational capabilities (Verhoef et al., 2021); this naming choice reflects a measurement-validity decision that ensures the construct label matches the empirical content of the WBES indicators. Following the formative measurement logic of Coltman et al. (2008), the indicators are standardized, aggregated into equal-weighted composites, and then re-standardized for interpretation in standard-deviation units, consistent with the construction approach of Avenyo et al. (2021) and Krammer et al. (2018). All coefficients on TCI and DAI are interpreted per one-standard-deviation increase in the composite.</w:t>
      </w:r>
    </w:p>
    <w:p>
      <w:pPr>
        <w:spacing w:after="120" w:before="240"/>
        <w:jc w:val="left"/>
      </w:pPr>
      <w:r>
        <w:rPr>
          <w:rFonts w:ascii="Times New Roman" w:cs="Times New Roman" w:eastAsia="Times New Roman" w:hAnsi="Times New Roman"/>
          <w:b/>
          <w:bCs/>
          <w:i/>
          <w:iCs/>
          <w:sz w:val="20"/>
          <w:szCs w:val="20"/>
        </w:rPr>
        <w:t xml:space="preserve">3.2.4 Controls</w:t>
      </w:r>
    </w:p>
    <w:p>
      <w:pPr>
        <w:spacing w:after="0" w:line="480" w:lineRule="auto"/>
        <w:ind w:firstLine="720"/>
        <w:jc w:val="both"/>
      </w:pPr>
      <w:r>
        <w:rPr>
          <w:rFonts w:ascii="Times New Roman" w:cs="Times New Roman" w:eastAsia="Times New Roman" w:hAnsi="Times New Roman"/>
          <w:sz w:val="20"/>
          <w:szCs w:val="20"/>
        </w:rPr>
        <w:t xml:space="preserve">We control for firm size (ln_empl, the natural logarithm of the number of full-time employees), firm age (year of survey minus year of establishment from WBES item b5), and foreign-ownership status (binary, derived from WBES item b2b indicating ≥ 10% foreign equity). Manager experience (WBES item b6), originally considered as a control, was dropped after a variance inflation factor diagnostic revealed severe collinearity with ln_empl (VIF = 6.11 before drop, 1.13 after; conventional threshold for moderate concern is 5; O'Brien, 2007).</w:t>
      </w:r>
    </w:p>
    <w:p>
      <w:pPr>
        <w:spacing w:after="160" w:before="280"/>
        <w:jc w:val="left"/>
      </w:pPr>
      <w:r>
        <w:rPr>
          <w:rFonts w:ascii="Times New Roman" w:cs="Times New Roman" w:eastAsia="Times New Roman" w:hAnsi="Times New Roman"/>
          <w:b/>
          <w:bCs/>
          <w:sz w:val="22"/>
          <w:szCs w:val="22"/>
        </w:rPr>
        <w:t xml:space="preserve">3.3 Estimation strategy and identification scope</w:t>
      </w:r>
    </w:p>
    <w:p>
      <w:pPr>
        <w:spacing w:after="0" w:line="480" w:lineRule="auto"/>
        <w:ind w:firstLine="720"/>
        <w:jc w:val="both"/>
      </w:pPr>
      <w:r>
        <w:rPr>
          <w:rFonts w:ascii="Times New Roman" w:cs="Times New Roman" w:eastAsia="Times New Roman" w:hAnsi="Times New Roman"/>
          <w:sz w:val="20"/>
          <w:szCs w:val="20"/>
        </w:rPr>
        <w:t xml:space="preserve">We estimate ordinary-least-squares regressions with HC1 robust standard errors throughout (MacKinnon &amp; White, 1985). Models are nested progressively from a controls-only specification (M0) through an inverted-U baseline (M2), TCI direct effect (M5), DAI direct effect (M6), TCI + DAI joint direct effects (M7), TCI moderation (M3), DAI moderation (M4), and the full specification (M8):</w:t>
      </w:r>
    </w:p>
    <w:p>
      <w:pPr>
        <w:spacing w:after="120" w:line="480" w:lineRule="auto"/>
        <w:jc w:val="left"/>
      </w:pPr>
      <w:r>
        <w:rPr>
          <w:rFonts w:ascii="Times New Roman" w:cs="Times New Roman" w:eastAsia="Times New Roman" w:hAnsi="Times New Roman"/>
          <w:i/>
          <w:iCs/>
          <w:sz w:val="20"/>
          <w:szCs w:val="20"/>
        </w:rPr>
        <w:t xml:space="preserve">ln(LP) = α + β₁·FSTS_c + β₂·FSTS_c² + β₃·TCI + β₄·DAI + β₅·(FSTS_c × DAI) + β₆·(FSTS_c² × DAI) + γ·controls + ε,</w:t>
      </w:r>
    </w:p>
    <w:p>
      <w:pPr>
        <w:spacing w:after="0" w:line="480" w:lineRule="auto"/>
        <w:ind w:firstLine="720"/>
        <w:jc w:val="both"/>
      </w:pPr>
      <w:r>
        <w:rPr>
          <w:rFonts w:ascii="Times New Roman" w:cs="Times New Roman" w:eastAsia="Times New Roman" w:hAnsi="Times New Roman"/>
          <w:sz w:val="20"/>
          <w:szCs w:val="20"/>
        </w:rPr>
        <w:t xml:space="preserve">where FSTS_c is mean-centered FSTS, FSTS_c² its square, and TCI and DAI are z-scored composites. To assess the inverted-U formally, we apply the Lind and Mehlum (2010) U-test. To assess the joint significance of DAI moderation, we apply an F-test of β₅ = β₆ = 0. We report Cohen's f² as the effect-size measure, following the conventions of Aguinis et al. (2005) for moderation effects.</w:t>
      </w:r>
    </w:p>
    <w:p>
      <w:pPr>
        <w:spacing w:after="0" w:line="480" w:lineRule="auto"/>
        <w:ind w:firstLine="720"/>
        <w:jc w:val="both"/>
      </w:pPr>
      <w:r>
        <w:rPr>
          <w:rFonts w:ascii="Times New Roman" w:cs="Times New Roman" w:eastAsia="Times New Roman" w:hAnsi="Times New Roman"/>
          <w:sz w:val="20"/>
          <w:szCs w:val="20"/>
        </w:rPr>
        <w:t xml:space="preserve">Our identification scope is associational rather than causal. The cross-sectional WBES Singapore 2023 design cannot rule out reverse causation or omitted-variable bias. Highly productive firms may be more likely to invest in digital infrastructure and to expand into international markets, which would induce a positive association between digital adoption, export intensity, and labour productivity even in the absence of a productivity-enhancing causal channel. We therefore use the language of "association" and "consistency with" throughout the manuscript and restrict our interpretive scope to firm-level patterns observed in this single cross-section. We discuss these limitations more fully in Section 6.</w:t>
      </w:r>
    </w:p>
    <w:p>
      <w:pPr>
        <w:spacing w:after="240" w:before="360"/>
        <w:jc w:val="left"/>
      </w:pPr>
      <w:r>
        <w:rPr>
          <w:rFonts w:ascii="Times New Roman" w:cs="Times New Roman" w:eastAsia="Times New Roman" w:hAnsi="Times New Roman"/>
          <w:b/>
          <w:bCs/>
          <w:sz w:val="24"/>
          <w:szCs w:val="24"/>
        </w:rPr>
        <w:t xml:space="preserve">4 Results</w:t>
      </w:r>
    </w:p>
    <w:p>
      <w:pPr>
        <w:spacing w:after="160" w:before="280"/>
        <w:jc w:val="left"/>
      </w:pPr>
      <w:r>
        <w:rPr>
          <w:rFonts w:ascii="Times New Roman" w:cs="Times New Roman" w:eastAsia="Times New Roman" w:hAnsi="Times New Roman"/>
          <w:b/>
          <w:bCs/>
          <w:sz w:val="22"/>
          <w:szCs w:val="22"/>
        </w:rPr>
        <w:t xml:space="preserve">4.1 Descriptive statistics</w:t>
      </w:r>
    </w:p>
    <w:p>
      <w:pPr>
        <w:spacing w:after="0" w:line="480" w:lineRule="auto"/>
        <w:ind w:firstLine="720"/>
        <w:jc w:val="both"/>
      </w:pPr>
      <w:r>
        <w:rPr>
          <w:rFonts w:ascii="Times New Roman" w:cs="Times New Roman" w:eastAsia="Times New Roman" w:hAnsi="Times New Roman"/>
          <w:sz w:val="20"/>
          <w:szCs w:val="20"/>
        </w:rPr>
        <w:t xml:space="preserve">Table 1 reports descriptive statistics (Panel A) and pairwise correlations (Panel B) for the analytic sample. The mean log labour productivity is 11.42 (SD = 1.18); mean FSTS is 0.045 (SD = 0.144), reflecting the predominantly domestic orientation of the sample. TCI and DAI are positively correlated (r = 0.31, p &lt; .001), as expected for two related but distinct firm-level constructs. Both correlate positively with labour productivity (r = 0.21 and 0.16, respectively, both p &lt; .001), and DAI also shows a modest positive correlation with FSTS (r = 0.09, p &lt; .05).</w:t>
      </w:r>
    </w:p>
    <w:p>
      <w:pPr>
        <w:spacing w:after="120" w:line="480" w:lineRule="auto"/>
        <w:jc w:val="left"/>
      </w:pPr>
      <w:r>
        <w:rPr>
          <w:rFonts w:ascii="Times New Roman" w:cs="Times New Roman" w:eastAsia="Times New Roman" w:hAnsi="Times New Roman"/>
          <w:b/>
          <w:bCs/>
          <w:sz w:val="20"/>
          <w:szCs w:val="20"/>
        </w:rPr>
        <w:t xml:space="preserve">Table 1. Descriptive statistics and pairwise correlations.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850"/>
        <w:gridCol w:w="850"/>
        <w:gridCol w:w="950"/>
        <w:gridCol w:w="950"/>
        <w:gridCol w:w="1000"/>
      </w:tblGrid>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A: Descriptive Statistics (N = 623)</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Mean</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SD</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Min</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Max</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p25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p50</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p75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Ln(Labour productivity)</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7.89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15.21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12.21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0.51</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size (ln_empl)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4.25</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Foreign-owned (0/1)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w:t>
            </w:r>
          </w:p>
        </w:tc>
      </w:tr>
      <w:tr>
        <w:trPr>
          <w:cantSplit/>
        </w:trPr>
        <w:tc>
          <w:tcPr>
            <w:tcW w:type="dxa" w:w="9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Panel B: Pairwise Correlations</w:t>
            </w:r>
          </w:p>
        </w:tc>
      </w:tr>
      <w:tr>
        <w:tc>
          <w:tcPr>
            <w:tcW w:type="dxa" w:w="22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1</w:t>
            </w:r>
          </w:p>
        </w:tc>
        <w:tc>
          <w:tcPr>
            <w:tcW w:type="dxa" w:w="11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2</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3</w:t>
            </w:r>
          </w:p>
        </w:tc>
        <w:tc>
          <w:tcPr>
            <w:tcW w:type="dxa" w:w="8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4</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5</w:t>
            </w:r>
          </w:p>
        </w:tc>
        <w:tc>
          <w:tcPr>
            <w:tcW w:type="dxa" w:w="95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6</w:t>
            </w:r>
          </w:p>
        </w:tc>
        <w:tc>
          <w:tcPr>
            <w:tcW w:type="dxa" w:w="10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7</w:t>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1. Ln(Lab. prod.)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2. 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3. 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4. 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5. Firm size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6. 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22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7. 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1.00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N = 623. *** p &lt; .001, ** p &lt; .01, * p &lt; .05, † p &lt; .10. TCI and DAI are z-standardized formative composites.</w:t>
      </w:r>
    </w:p>
    <w:p>
      <w:pPr>
        <w:spacing w:after="160" w:before="280"/>
        <w:jc w:val="left"/>
      </w:pPr>
      <w:r>
        <w:rPr>
          <w:rFonts w:ascii="Times New Roman" w:cs="Times New Roman" w:eastAsia="Times New Roman" w:hAnsi="Times New Roman"/>
          <w:b/>
          <w:bCs/>
          <w:sz w:val="22"/>
          <w:szCs w:val="22"/>
        </w:rPr>
        <w:t xml:space="preserve">4.2 The I–P relationship: primarily monotonic with mild curvature</w:t>
      </w:r>
    </w:p>
    <w:p>
      <w:pPr>
        <w:spacing w:after="0" w:line="480" w:lineRule="auto"/>
        <w:ind w:firstLine="720"/>
        <w:jc w:val="both"/>
      </w:pPr>
      <w:r>
        <w:rPr>
          <w:rFonts w:ascii="Times New Roman" w:cs="Times New Roman" w:eastAsia="Times New Roman" w:hAnsi="Times New Roman"/>
          <w:sz w:val="20"/>
          <w:szCs w:val="20"/>
        </w:rPr>
        <w:t xml:space="preserve">In the M2 inverted-U baseline specification (Table 2), the linear FSTS term is strongly positive (β = +3.490, SE = 0.903, p &lt; .001) and the quadratic FSTS² term is marginally negative (β = −2.103, SE = 1.087, p = .053). The implied apparent turning point lies at FSTS ≈ 83%, beyond most of the empirical FSTS distribution (the 99th percentile of FSTS in the sample is approximately 90%). The Lind and Mehlum (2010) joint U-test fails to reject the null of monotonicity (p = .301). Following Haans et al. (2016), we therefore characterize the I–P relationship as primarily monotonic positive with mild quadratic curvature rather than as a confirmed inverted-U. This finding qualifies the modal inverted-U pattern documented in earlier I–P literature (Marano et al., 2016) within the specific context of a digital-frontier economy: when cross-border coordination costs have been substantially attenuated by mature digital infrastructure, the right-side decline of the I–P curve is flattened or shifted to levels of export intensity that are sparsely represented in the observed sample.</w:t>
      </w:r>
    </w:p>
    <w:p>
      <w:pPr>
        <w:spacing w:after="160" w:before="280"/>
        <w:jc w:val="left"/>
      </w:pPr>
      <w:r>
        <w:rPr>
          <w:rFonts w:ascii="Times New Roman" w:cs="Times New Roman" w:eastAsia="Times New Roman" w:hAnsi="Times New Roman"/>
          <w:b/>
          <w:bCs/>
          <w:sz w:val="22"/>
          <w:szCs w:val="22"/>
        </w:rPr>
        <w:t xml:space="preserve">4.3 TCI direct effect supports H1; TCI moderation null supports H2</w:t>
      </w:r>
    </w:p>
    <w:p>
      <w:pPr>
        <w:spacing w:after="0" w:line="480" w:lineRule="auto"/>
        <w:ind w:firstLine="720"/>
        <w:jc w:val="both"/>
      </w:pPr>
      <w:r>
        <w:rPr>
          <w:rFonts w:ascii="Times New Roman" w:cs="Times New Roman" w:eastAsia="Times New Roman" w:hAnsi="Times New Roman"/>
          <w:sz w:val="20"/>
          <w:szCs w:val="20"/>
        </w:rPr>
        <w:t xml:space="preserve">In Model M5 (Table 2), TCI exerts a positive and strongly significant direct effect on labour productivity (β_z = 0.200, SE = 0.042, p &lt; .001), supporting H1. R² increases from .162 in M2 to .191 in M5. In Model M3, the TCI direct effect remains significant (β_z = 0.191, p &lt; .001), and the TCI moderation terms (FSTS × TCI and FSTS² × TCI) are jointly insignificant, supporting H2. TCI raises the productivity intercept regardless of internationalization stage but does not shift the I–P curvature, consistent with the Rugman and Verbeke (2004) NLB-FSA recombinability prediction.</w:t>
      </w:r>
    </w:p>
    <w:p>
      <w:pPr>
        <w:spacing w:after="160" w:before="280"/>
        <w:jc w:val="left"/>
      </w:pPr>
      <w:r>
        <w:rPr>
          <w:rFonts w:ascii="Times New Roman" w:cs="Times New Roman" w:eastAsia="Times New Roman" w:hAnsi="Times New Roman"/>
          <w:b/>
          <w:bCs/>
          <w:sz w:val="22"/>
          <w:szCs w:val="22"/>
        </w:rPr>
        <w:t xml:space="preserve">4.4 DAI moderation: evidence concentrated in the high-export tail</w:t>
      </w:r>
    </w:p>
    <w:p>
      <w:pPr>
        <w:spacing w:after="0" w:line="480" w:lineRule="auto"/>
        <w:ind w:firstLine="720"/>
        <w:jc w:val="both"/>
      </w:pPr>
      <w:r>
        <w:rPr>
          <w:rFonts w:ascii="Times New Roman" w:cs="Times New Roman" w:eastAsia="Times New Roman" w:hAnsi="Times New Roman"/>
          <w:sz w:val="20"/>
          <w:szCs w:val="20"/>
        </w:rPr>
        <w:t xml:space="preserve">DAI exerts a significant direct effect on labour productivity in Model M6 (β_z = 0.114, SE = 0.038, p = .002), supporting H3 and indicating that a one-standard-deviation increase in digital adoption is associated with an approximately 11.4% productivity increase. When both TCI and DAI are included as direct effects in Model M7, the DAI coefficient attenuates to marginal significance (β_z = 0.073, p = .057), suggesting partial overlap in the explanatory space captured by the two constructs.</w:t>
      </w:r>
    </w:p>
    <w:p>
      <w:pPr>
        <w:spacing w:after="60" w:line="480" w:lineRule="auto"/>
        <w:jc w:val="left"/>
      </w:pPr>
      <w:r>
        <w:rPr>
          <w:rFonts w:ascii="Times New Roman" w:cs="Times New Roman" w:eastAsia="Times New Roman" w:hAnsi="Times New Roman"/>
          <w:b/>
          <w:bCs/>
          <w:sz w:val="20"/>
          <w:szCs w:val="20"/>
        </w:rPr>
        <w:t xml:space="preserve">Table 2. Hierarchical OLS regression results — Singapore 2023.</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in parentheses.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620"/>
        <w:gridCol w:w="900"/>
        <w:gridCol w:w="900"/>
        <w:gridCol w:w="900"/>
        <w:gridCol w:w="900"/>
        <w:gridCol w:w="900"/>
        <w:gridCol w:w="900"/>
        <w:gridCol w:w="900"/>
        <w:gridCol w:w="900"/>
      </w:tblGrid>
      <w:tr>
        <w:tc>
          <w:tcPr>
            <w:tcW w:type="dxa" w:w="162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Variable</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M0
Ctrl</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M2
Inv-U</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M5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M6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M7
T+D</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M3
TCI×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M4
DAI×</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M8
Full</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3.490***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2.797**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3.106***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2.599**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2.445*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3.058**</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(0.943)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-2.103†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-1.431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-2.715*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(1.087)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(1.092)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(1.120)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(1.430)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(1.101)</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TCI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(0.044)</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DAI (z)</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(0.038)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(0.040)</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TCI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-0.944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-1.279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FSTS² × DAI</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(1.284)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i/>
                <w:iCs/>
                <w:sz w:val="16"/>
                <w:szCs w:val="16"/>
              </w:rPr>
              <w:t xml:space="preserve">(1.309)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size (ln)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-0.199***</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Firm age</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Foreign-owned</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0.463***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0.315***</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Constant</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11.65***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11.83***</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N</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0.202</w:t>
            </w:r>
          </w:p>
        </w:tc>
      </w:tr>
      <w:tr>
        <w:tc>
          <w:tcPr>
            <w:tcW w:type="dxa" w:w="162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Adj. R²</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FSTS is mean-centered. TCI and DAI are z-standardized composites. All models include firm size (ln_empl), firm age, and foreign-ownership controls. Models M6, M7, M4 and M8 use the analytic sample N = 617 because DAI-related variables contain missing values for 6 firms.</w:t>
      </w:r>
    </w:p>
    <w:p>
      <w:pPr>
        <w:spacing w:after="0" w:line="480" w:lineRule="auto"/>
        <w:ind w:firstLine="720"/>
        <w:jc w:val="both"/>
      </w:pPr>
      <w:r>
        <w:rPr>
          <w:rFonts w:ascii="Times New Roman" w:cs="Times New Roman" w:eastAsia="Times New Roman" w:hAnsi="Times New Roman"/>
          <w:sz w:val="20"/>
          <w:szCs w:val="20"/>
        </w:rPr>
        <w:t xml:space="preserve">The moderation specification indicates that the productivity relevance of digital adoption varies across export intensity. In Model M4, the interaction block is jointly significant (F(2, 607) = 3.38, p = .035), and in the full Model M8 the quadratic interaction term remains positive and significant (FSTS² × DAI: β_z = +3.023, SE = 1.309, p = .021). Substantively, however, the evidence is concentrated in the upper export-intensity range, as Table 4 shows.</w:t>
      </w:r>
    </w:p>
    <w:p>
      <w:pPr>
        <w:spacing w:after="120" w:line="480" w:lineRule="auto"/>
        <w:jc w:val="left"/>
      </w:pPr>
      <w:r>
        <w:rPr>
          <w:rFonts w:ascii="Times New Roman" w:cs="Times New Roman" w:eastAsia="Times New Roman" w:hAnsi="Times New Roman"/>
          <w:b/>
          <w:bCs/>
          <w:sz w:val="20"/>
          <w:szCs w:val="20"/>
        </w:rPr>
        <w:t xml:space="preserve">Table 4. Marginal effects of DAI across selected FSTS levels (from Model M8).</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 level</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Marginal effect of DAI</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SE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p-value</w:t>
            </w:r>
          </w:p>
        </w:tc>
        <w:tc>
          <w:tcPr>
            <w:tcW w:type="dxa" w:w="1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95% CI</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0% (domestic)</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+0.073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.057†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[-0.005, 0.151]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.728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[-0.120, 0.084]</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21% (trough)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-0.058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.491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0.107]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+0.048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0.155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.756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[-0.255, 0.351]</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FSTS = 50%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0.232</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 0.687]</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70%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+0.660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0.323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[0.027, 1.293]</w:t>
            </w:r>
          </w:p>
        </w:tc>
      </w:tr>
      <w:tr>
        <w:tc>
          <w:tcPr>
            <w:tcW w:type="dxa" w:w="18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FSTS = 100%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+1.818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0.694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.009**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[0.458, 3.178]</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.01, * p &lt; .05, † p &lt; .10. Marginal effects computed at one-standard-deviation increase in DAI. SEs derived from the variance–covariance matrix of M8 using the delta method.</w:t>
      </w:r>
    </w:p>
    <w:p>
      <w:pPr>
        <w:spacing w:after="0" w:line="480" w:lineRule="auto"/>
        <w:ind w:firstLine="720"/>
        <w:jc w:val="both"/>
      </w:pPr>
      <w:r>
        <w:rPr>
          <w:rFonts w:ascii="Times New Roman" w:cs="Times New Roman" w:eastAsia="Times New Roman" w:hAnsi="Times New Roman"/>
          <w:sz w:val="20"/>
          <w:szCs w:val="20"/>
        </w:rPr>
        <w:t xml:space="preserve">The marginal effect of DAI is only weakly negative and statistically indistinguishable from zero at intermediate export levels, with a shallow trough around FSTS ≈ 21% (β ≈ −0.058, p = .491). By contrast, the marginal effect becomes positive and statistically significant among high-intensity exporters (FSTS = 70%: β = +0.660, p = .041; FSTS = 100%: β = +1.818, p = .009). Accordingly, the results are best interpreted as evidence that digital adoption functions as a scale-enabling complement at high levels of internationalization, rather than as strong evidence of a pronounced coordination-cost trough in the middle range. This pattern supports H4: the association between digital adoption and labour productivity becomes more positive at higher levels of export intensity. Figure 2 visualizes the marginal effects of DAI across the FSTS distribution with 95% confidence intervals.</w:t>
      </w:r>
    </w:p>
    <w:p>
      <w:pPr>
        <w:spacing w:after="60" w:line="480" w:lineRule="auto"/>
        <w:jc w:val="center"/>
      </w:pPr>
      <w:r>
        <w:rPr>
          <w:rFonts w:ascii="Times New Roman" w:cs="Times New Roman" w:eastAsia="Times New Roman" w:hAnsi="Times New Roman"/>
          <w:i/>
          <w:iCs/>
          <w:sz w:val="18"/>
          <w:szCs w:val="18"/>
        </w:rPr>
        <w:t xml:space="preserve">[INSERT FIGURE 2 HERE — Marginal effects of DAI across FSTS with 95% CI bands]</w:t>
      </w:r>
    </w:p>
    <w:p>
      <w:pPr>
        <w:spacing w:after="240" w:line="280" w:lineRule="auto"/>
        <w:jc w:val="center"/>
      </w:pPr>
      <w:r>
        <w:rPr>
          <w:rFonts w:ascii="Times New Roman" w:cs="Times New Roman" w:eastAsia="Times New Roman" w:hAnsi="Times New Roman"/>
          <w:i/>
          <w:iCs/>
          <w:sz w:val="18"/>
          <w:szCs w:val="18"/>
        </w:rPr>
        <w:t xml:space="preserve">Figure 2. Marginal effects of DAI across FSTS with 95% confidence interval bands.</w:t>
      </w:r>
    </w:p>
    <w:p>
      <w:pPr>
        <w:spacing w:after="60" w:line="480" w:lineRule="auto"/>
        <w:jc w:val="center"/>
      </w:pPr>
      <w:r>
        <w:rPr>
          <w:rFonts w:ascii="Times New Roman" w:cs="Times New Roman" w:eastAsia="Times New Roman" w:hAnsi="Times New Roman"/>
          <w:i/>
          <w:iCs/>
          <w:sz w:val="18"/>
          <w:szCs w:val="18"/>
        </w:rPr>
        <w:t xml:space="preserve">[INSERT FIGURE 3 HERE — Predicted I–P curve with 95% confidence band]</w:t>
      </w:r>
    </w:p>
    <w:p>
      <w:pPr>
        <w:spacing w:after="240" w:line="280" w:lineRule="auto"/>
        <w:jc w:val="center"/>
      </w:pPr>
      <w:r>
        <w:rPr>
          <w:rFonts w:ascii="Times New Roman" w:cs="Times New Roman" w:eastAsia="Times New Roman" w:hAnsi="Times New Roman"/>
          <w:i/>
          <w:iCs/>
          <w:sz w:val="18"/>
          <w:szCs w:val="18"/>
        </w:rPr>
        <w:t xml:space="preserve">Figure 3. Predicted internationalization–performance curve with 95% confidence band.</w:t>
      </w:r>
    </w:p>
    <w:p>
      <w:pPr>
        <w:spacing w:after="160" w:before="280"/>
        <w:jc w:val="left"/>
      </w:pPr>
      <w:r>
        <w:rPr>
          <w:rFonts w:ascii="Times New Roman" w:cs="Times New Roman" w:eastAsia="Times New Roman" w:hAnsi="Times New Roman"/>
          <w:b/>
          <w:bCs/>
          <w:sz w:val="22"/>
          <w:szCs w:val="22"/>
        </w:rPr>
        <w:t xml:space="preserve">4.5 Robustness checks</w:t>
      </w:r>
    </w:p>
    <w:p>
      <w:pPr>
        <w:spacing w:after="0" w:line="480" w:lineRule="auto"/>
        <w:ind w:firstLine="720"/>
        <w:jc w:val="both"/>
      </w:pPr>
      <w:r>
        <w:rPr>
          <w:rFonts w:ascii="Times New Roman" w:cs="Times New Roman" w:eastAsia="Times New Roman" w:hAnsi="Times New Roman"/>
          <w:sz w:val="20"/>
          <w:szCs w:val="20"/>
        </w:rPr>
        <w:t xml:space="preserve">Robustness checks reported in Table 3 indicate that the paper's central inference is broadly stable across alternative specifications, although the strength of the evidence varies with measurement choice and sample restriction. Under the baseline specification, the quadratic moderation term remains positive and significant, supporting the interpretation that digital adoption becomes more economically consequential at higher levels of export intensity rather than generating a uniform productivity premium across all firms. The alternative DAI-thin specification yields a weaker overall pattern than the baseline rich specification, but it preserves the same directional logic of conditional relevance, suggesting that the main result is not driven solely by one particular operationalization of digital adoption.</w:t>
      </w:r>
    </w:p>
    <w:p>
      <w:pPr>
        <w:spacing w:after="0" w:line="480" w:lineRule="auto"/>
        <w:ind w:firstLine="720"/>
        <w:jc w:val="both"/>
      </w:pPr>
      <w:r>
        <w:rPr>
          <w:rFonts w:ascii="Times New Roman" w:cs="Times New Roman" w:eastAsia="Times New Roman" w:hAnsi="Times New Roman"/>
          <w:sz w:val="20"/>
          <w:szCs w:val="20"/>
        </w:rPr>
        <w:t xml:space="preserve">Additional robustness specifications reported in Table 3 further support this interpretation by showing that the positive quadratic moderation pattern remains visible when technological capability is measured more parsimoniously and when the sample is restricted to larger or smaller firm segments. For the exporters-only subsample, however, the estimates are less stable and should be interpreted cautiously because Singapore's exporter subsample is relatively small and the right tail of export intensity is thin. Taken together, these results suggest that the manuscript's strongest empirical claim concerns the contingent, export-intensity-dependent role of digital adoption, whereas evidence for a uniform direct productivity premium is more specification-sensitive. Cohen's f² for the TCI direct effect (M2 → M5) is approximately 0.036, in the small-to-medium range; Cohen's f² for the DAI moderation block (M5 → M6) is approximately 0.018, below Cohen's (1988) conventional "small" threshold of 0.02 but consistent with typical magnitudes of moderation effects in organizational research (Aguinis et al., 2005).</w:t>
      </w:r>
    </w:p>
    <w:p>
      <w:pPr>
        <w:spacing w:after="60" w:line="480" w:lineRule="auto"/>
        <w:jc w:val="left"/>
      </w:pPr>
      <w:r>
        <w:rPr>
          <w:rFonts w:ascii="Times New Roman" w:cs="Times New Roman" w:eastAsia="Times New Roman" w:hAnsi="Times New Roman"/>
          <w:b/>
          <w:bCs/>
          <w:sz w:val="20"/>
          <w:szCs w:val="20"/>
        </w:rPr>
        <w:t xml:space="preserve">Table 3. Robustness checks for primary findings (six specifications).</w:t>
      </w:r>
    </w:p>
    <w:p>
      <w:pPr>
        <w:spacing w:after="120" w:line="480" w:lineRule="auto"/>
        <w:jc w:val="left"/>
      </w:pPr>
      <w:r>
        <w:rPr>
          <w:rFonts w:ascii="Times New Roman" w:cs="Times New Roman" w:eastAsia="Times New Roman" w:hAnsi="Times New Roman"/>
          <w:i/>
          <w:iCs/>
          <w:sz w:val="16"/>
          <w:szCs w:val="16"/>
        </w:rPr>
        <w:t xml:space="preserve">DV: Ln(Labour Productivity). HC1 robust standard errors. Each row reports a separate full-specification regression with controls.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800"/>
        <w:gridCol w:w="1300"/>
        <w:gridCol w:w="1300"/>
        <w:gridCol w:w="1500"/>
        <w:gridCol w:w="900"/>
      </w:tblGrid>
      <w:tr>
        <w:tc>
          <w:tcPr>
            <w:tcW w:type="dxa" w:w="27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Specification</w:t>
            </w:r>
          </w:p>
        </w:tc>
        <w:tc>
          <w:tcPr>
            <w:tcW w:type="dxa" w:w="8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N</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TCI β_z</w:t>
            </w:r>
          </w:p>
        </w:tc>
        <w:tc>
          <w:tcPr>
            <w:tcW w:type="dxa" w:w="13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FSTS² × DAI</w:t>
            </w:r>
          </w:p>
        </w:tc>
        <w:tc>
          <w:tcPr>
            <w:tcW w:type="dxa" w:w="15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Joint F (p)</w:t>
            </w:r>
          </w:p>
        </w:tc>
        <w:tc>
          <w:tcPr>
            <w:tcW w:type="dxa" w:w="900"/>
            <w:tcBorders>
              <w:top w:val="single" w:color="888888" w:sz="4"/>
              <w:left w:val="single" w:color="888888" w:sz="4"/>
              <w:bottom w:val="single" w:color="888888" w:sz="4"/>
              <w:right w:val="single" w:color="888888" w:sz="4"/>
            </w:tcBorders>
            <w:shd w:fill="EEEEEE" w:val="clear"/>
            <w:tcMar>
              <w:top w:type="dxa" w:w="60"/>
              <w:left w:type="dxa" w:w="80"/>
              <w:bottom w:type="dxa" w:w="60"/>
              <w:right w:type="dxa" w:w="80"/>
            </w:tcMar>
          </w:tcPr>
          <w:p>
            <w:pPr>
              <w:spacing w:line="240" w:lineRule="auto"/>
              <w:jc w:val="center"/>
            </w:pPr>
            <w:r>
              <w:rPr>
                <w:rFonts w:ascii="Times New Roman" w:cs="Times New Roman" w:eastAsia="Times New Roman" w:hAnsi="Times New Roman"/>
                <w:b/>
                <w:bCs/>
                <w:sz w:val="16"/>
                <w:szCs w:val="16"/>
              </w:rPr>
              <w:t xml:space="preserve">Adj. R²</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bCs/>
                <w:sz w:val="16"/>
                <w:szCs w:val="16"/>
              </w:rPr>
              <w:t xml:space="preserve">Baseline (TCI_full + DAI_rich)</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3.38 (.035)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0.190</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R1: DAI_thin (no k33)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623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1.698*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1.70 (.184)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R2: TCI_thin (e6 + b8)</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617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0.167***</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2.836*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3.09 (.046)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0.186</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R3: Excl micro-firms (&lt;10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464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0.214***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3.451*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4.70 (.010)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0.223</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R4: SMEs only (≤200 empl)</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595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0.179***</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3.476**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3.88 (.021)</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0.195</w:t>
            </w:r>
          </w:p>
        </w:tc>
      </w:tr>
      <w:tr>
        <w:tc>
          <w:tcPr>
            <w:tcW w:type="dxa" w:w="27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left"/>
            </w:pPr>
            <w:r>
              <w:rPr>
                <w:rFonts w:ascii="Times New Roman" w:cs="Times New Roman" w:eastAsia="Times New Roman" w:hAnsi="Times New Roman"/>
                <w:b w:val="false"/>
                <w:bCs w:val="false"/>
                <w:sz w:val="16"/>
                <w:szCs w:val="16"/>
              </w:rPr>
              <w:t xml:space="preserve">R5: Exporters only (FSTS &gt; 0)</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84</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0.226</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1.635</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3.58 (.033)</w:t>
            </w:r>
          </w:p>
        </w:tc>
        <w:tc>
          <w:tcPr>
            <w:tcW w:type="dxa" w:w="1100"/>
            <w:tcBorders>
              <w:top w:val="single" w:color="888888" w:sz="4"/>
              <w:left w:val="single" w:color="888888" w:sz="4"/>
              <w:bottom w:val="single" w:color="888888" w:sz="4"/>
              <w:right w:val="single" w:color="888888" w:sz="4"/>
            </w:tcBorders>
            <w:tcMar>
              <w:top w:type="dxa" w:w="60"/>
              <w:left w:type="dxa" w:w="80"/>
              <w:bottom w:type="dxa" w:w="60"/>
              <w:right w:type="dxa" w:w="80"/>
            </w:tcMar>
          </w:tcPr>
          <w:p>
            <w:pPr>
              <w:spacing w:line="240" w:lineRule="auto"/>
              <w:jc w:val="center"/>
            </w:pPr>
            <w:r>
              <w:rPr>
                <w:rFonts w:ascii="Times New Roman" w:cs="Times New Roman" w:eastAsia="Times New Roman" w:hAnsi="Times New Roman"/>
                <w:b w:val="false"/>
                <w:bCs w:val="false"/>
                <w:sz w:val="16"/>
                <w:szCs w:val="16"/>
              </w:rPr>
              <w:t xml:space="preserve">0.102</w:t>
            </w:r>
          </w:p>
        </w:tc>
      </w:tr>
    </w:tbl>
    <w:p>
      <w:pPr>
        <w:spacing w:after="60" w:line="480" w:lineRule="auto"/>
        <w:jc w:val="left"/>
      </w:pPr>
      <w:r>
        <w:rPr>
          <w:rFonts w:ascii="Times New Roman" w:cs="Times New Roman" w:eastAsia="Times New Roman" w:hAnsi="Times New Roman"/>
          <w:sz w:val="20"/>
          <w:szCs w:val="20"/>
        </w:rPr>
        <w:t xml:space="preserve"/>
      </w:r>
    </w:p>
    <w:p>
      <w:pPr>
        <w:spacing w:after="240" w:line="480" w:lineRule="auto"/>
        <w:jc w:val="left"/>
      </w:pPr>
      <w:r>
        <w:rPr>
          <w:rFonts w:ascii="Times New Roman" w:cs="Times New Roman" w:eastAsia="Times New Roman" w:hAnsi="Times New Roman"/>
          <w:i/>
          <w:iCs/>
          <w:sz w:val="16"/>
          <w:szCs w:val="16"/>
        </w:rPr>
        <w:t xml:space="preserve">Notes: *** p &lt; .001, ** p &lt; .01, * p &lt; .05, † p &lt; .10. Joint F refers to the F-test of FSTS × DAI = FSTS² × DAI = 0. The positive sign of the quadratic DAI moderation term is preserved across all six specifications, although statistical strength attenuates in more restrictive subsamples. Baseline corresponds to Model M8 in Table 2. R1 substitutes DAI_thin (website + foreign technology only, omitting electronic-payment indicator k33) for DAI_rich. R2 uses TCI_thin (e6 + b8 only) instead of TCI_full. R3 excludes micro-firms with fewer than 10 employees. R4 restricts the sample to small and medium-sized enterprises with ≤ 200 employees. R5 restricts the sample to non-zero exporters (FSTS &gt; 0).</w:t>
      </w:r>
    </w:p>
    <w:p>
      <w:pPr>
        <w:spacing w:after="240" w:before="360"/>
        <w:jc w:val="left"/>
      </w:pPr>
      <w:r>
        <w:rPr>
          <w:rFonts w:ascii="Times New Roman" w:cs="Times New Roman" w:eastAsia="Times New Roman" w:hAnsi="Times New Roman"/>
          <w:b/>
          <w:bCs/>
          <w:sz w:val="24"/>
          <w:szCs w:val="24"/>
        </w:rPr>
        <w:t xml:space="preserve">5 Discussion</w:t>
      </w:r>
    </w:p>
    <w:p>
      <w:pPr>
        <w:spacing w:after="160" w:before="280"/>
        <w:jc w:val="left"/>
      </w:pPr>
      <w:r>
        <w:rPr>
          <w:rFonts w:ascii="Times New Roman" w:cs="Times New Roman" w:eastAsia="Times New Roman" w:hAnsi="Times New Roman"/>
          <w:b/>
          <w:bCs/>
          <w:sz w:val="22"/>
          <w:szCs w:val="22"/>
        </w:rPr>
        <w:t xml:space="preserve">5.1 Theoretical implications</w:t>
      </w:r>
    </w:p>
    <w:p>
      <w:pPr>
        <w:spacing w:after="0" w:line="480" w:lineRule="auto"/>
        <w:ind w:firstLine="720"/>
        <w:jc w:val="both"/>
      </w:pPr>
      <w:r>
        <w:rPr>
          <w:rFonts w:ascii="Times New Roman" w:cs="Times New Roman" w:eastAsia="Times New Roman" w:hAnsi="Times New Roman"/>
          <w:sz w:val="20"/>
          <w:szCs w:val="20"/>
        </w:rPr>
        <w:t xml:space="preserve">Three theoretical implications follow from these findings. First, the TCI result supports a capability-depth interpretation of firm performance in internationalizing firms. Technological capability appears to operate as a non-location-bound firm-specific advantage (Rugman &amp; Verbeke, 2004) that raises the productivity intercept but does not systematically reshape the curvature of the I–P relationship. This pattern is consistent with the view that internal capability depth can improve how efficiently firms operate across markets without necessarily altering the coordination-cost dynamics that generate nonlinearity in the I–P relationship.</w:t>
      </w:r>
    </w:p>
    <w:p>
      <w:pPr>
        <w:spacing w:after="0" w:line="480" w:lineRule="auto"/>
        <w:ind w:firstLine="720"/>
        <w:jc w:val="both"/>
      </w:pPr>
      <w:r>
        <w:rPr>
          <w:rFonts w:ascii="Times New Roman" w:cs="Times New Roman" w:eastAsia="Times New Roman" w:hAnsi="Times New Roman"/>
          <w:sz w:val="20"/>
          <w:szCs w:val="20"/>
        </w:rPr>
        <w:t xml:space="preserve">Second, the present evidence qualifies rather than overturns the conventional inverted-U literature (Contractor et al., 2003; Hitt et al., 1997; Lu &amp; Beamish, 2004). The baseline relationship remains mildly curved, but the negative right-hand side of the curve is not formally established within the observed export-intensity range. A useful interpretation is that, in a digital-frontier institutional environment, cross-border coordination costs do not disappear; instead, they are partially reallocated. Mature digital infrastructure reduces basic communication, transaction, and information frictions, which can flatten the right-side decline of the curve within the export-intensity range most firms actually occupy. Under such conditions, the classic inverted-U may still exist in principle, but its turning point is shifted toward the extreme upper tail of internationalization, where empirical observations are sparse in the present sample.</w:t>
      </w:r>
    </w:p>
    <w:p>
      <w:pPr>
        <w:spacing w:after="0" w:line="480" w:lineRule="auto"/>
        <w:ind w:firstLine="720"/>
        <w:jc w:val="both"/>
      </w:pPr>
      <w:r>
        <w:rPr>
          <w:rFonts w:ascii="Times New Roman" w:cs="Times New Roman" w:eastAsia="Times New Roman" w:hAnsi="Times New Roman"/>
          <w:sz w:val="20"/>
          <w:szCs w:val="20"/>
        </w:rPr>
        <w:t xml:space="preserve">Third, the DAI result suggests that digital adoption in a digitally mature economy is best understood as a conditional scaling complement rather than as a universal productivity premium. When basic digital infrastructure is already widespread, digital adoption is less likely to differentiate firms uniformly across the full export-intensity distribution. Its productivity relevance becomes stronger when firms reach high export intensity, because digital interfaces and transaction systems can then be amortized across a larger volume of cross-border exchanges, denser information flows, and more demanding multi-market coordination tasks (Brynjolfsson et al., 2021). This interpretation also clarifies why the construct should be labeled digital adoption rather than digital capability. The available WBES indicators capture firms' uptake of digital interfaces and transaction-enabling mechanisms, not deeper digitally integrated organizational capabilities (Verhoef et al., 2021). Distinguishing DAI from TCI therefore does more than improve terminology; it clarifies that firm-internal capability depth and digitally enabled cross-border orchestration are analytically distinct sources of performance heterogeneity.</w:t>
      </w:r>
    </w:p>
    <w:p>
      <w:pPr>
        <w:spacing w:after="160" w:before="280"/>
        <w:jc w:val="left"/>
      </w:pPr>
      <w:r>
        <w:rPr>
          <w:rFonts w:ascii="Times New Roman" w:cs="Times New Roman" w:eastAsia="Times New Roman" w:hAnsi="Times New Roman"/>
          <w:b/>
          <w:bCs/>
          <w:sz w:val="22"/>
          <w:szCs w:val="22"/>
        </w:rPr>
        <w:t xml:space="preserve">5.2 Managerial implications</w:t>
      </w:r>
    </w:p>
    <w:p>
      <w:pPr>
        <w:spacing w:after="0" w:line="480" w:lineRule="auto"/>
        <w:ind w:firstLine="720"/>
        <w:jc w:val="both"/>
      </w:pPr>
      <w:r>
        <w:rPr>
          <w:rFonts w:ascii="Times New Roman" w:cs="Times New Roman" w:eastAsia="Times New Roman" w:hAnsi="Times New Roman"/>
          <w:sz w:val="20"/>
          <w:szCs w:val="20"/>
        </w:rPr>
        <w:t xml:space="preserve">For firms operating in digital-frontier settings, the findings suggest that investments in digital adoption are most strongly associated with productivity advantages when firms already operate at high export intensity. In such cases, digital interfaces, payment systems, and related transaction-enabling tools appear to function as scaling mechanisms that help firms coordinate a larger volume of cross-border activity more efficiently.</w:t>
      </w:r>
    </w:p>
    <w:p>
      <w:pPr>
        <w:spacing w:after="0" w:line="480" w:lineRule="auto"/>
        <w:ind w:firstLine="720"/>
        <w:jc w:val="both"/>
      </w:pPr>
      <w:r>
        <w:rPr>
          <w:rFonts w:ascii="Times New Roman" w:cs="Times New Roman" w:eastAsia="Times New Roman" w:hAnsi="Times New Roman"/>
          <w:sz w:val="20"/>
          <w:szCs w:val="20"/>
        </w:rPr>
        <w:t xml:space="preserve">For firms concentrated in domestic markets or at low export intensity, digital adoption may still be beneficial, but the productivity differentials appear smaller and less distinctive. In a digitally mature economy, basic digital functionality is already widespread, so adopting such tools may no longer generate a large standalone productivity premium for all firms equally.</w:t>
      </w:r>
    </w:p>
    <w:p>
      <w:pPr>
        <w:spacing w:after="0" w:line="480" w:lineRule="auto"/>
        <w:ind w:firstLine="720"/>
        <w:jc w:val="both"/>
      </w:pPr>
      <w:r>
        <w:rPr>
          <w:rFonts w:ascii="Times New Roman" w:cs="Times New Roman" w:eastAsia="Times New Roman" w:hAnsi="Times New Roman"/>
          <w:sz w:val="20"/>
          <w:szCs w:val="20"/>
        </w:rPr>
        <w:t xml:space="preserve">For firms in the intermediate export-intensity range, the results suggest caution in expecting immediate labour-productivity gains from digital adoption alone. The evidence does not indicate a strong penalty in this range, but neither does it indicate reliably large gains. Managerially, this implies that digital adoption in this segment should be aligned with broader strategic objectives such as market access, customer integration, supplier coordination, and future export scaling rather than justified only on the basis of short-run productivity returns.</w:t>
      </w:r>
    </w:p>
    <w:p>
      <w:pPr>
        <w:spacing w:after="0" w:line="480" w:lineRule="auto"/>
        <w:ind w:firstLine="720"/>
        <w:jc w:val="both"/>
      </w:pPr>
      <w:r>
        <w:rPr>
          <w:rFonts w:ascii="Times New Roman" w:cs="Times New Roman" w:eastAsia="Times New Roman" w:hAnsi="Times New Roman"/>
          <w:sz w:val="20"/>
          <w:szCs w:val="20"/>
        </w:rPr>
        <w:t xml:space="preserve">More broadly, the findings imply that managers should avoid treating technological capability and digital adoption as interchangeable investment categories. Investments in technological capability appear to support a broader productivity base, whereas investments in digital adoption seem to become especially valuable when firms face the coordination intensity associated with deeper internationalization. For managerial decision making, this means that capability-building and digitalization strategies should be sequenced and matched to the firm's actual stage of export expansion rather than pursued as a single undifferentiated "digital capability" agenda.</w:t>
      </w:r>
    </w:p>
    <w:p>
      <w:pPr>
        <w:spacing w:after="240" w:before="360"/>
        <w:jc w:val="left"/>
      </w:pPr>
      <w:r>
        <w:rPr>
          <w:rFonts w:ascii="Times New Roman" w:cs="Times New Roman" w:eastAsia="Times New Roman" w:hAnsi="Times New Roman"/>
          <w:b/>
          <w:bCs/>
          <w:sz w:val="24"/>
          <w:szCs w:val="24"/>
        </w:rPr>
        <w:t xml:space="preserve">6 Limitations and Future Research</w:t>
      </w:r>
    </w:p>
    <w:p>
      <w:pPr>
        <w:spacing w:after="0" w:line="480" w:lineRule="auto"/>
        <w:ind w:firstLine="720"/>
        <w:jc w:val="both"/>
      </w:pPr>
      <w:r>
        <w:rPr>
          <w:rFonts w:ascii="Times New Roman" w:cs="Times New Roman" w:eastAsia="Times New Roman" w:hAnsi="Times New Roman"/>
          <w:sz w:val="20"/>
          <w:szCs w:val="20"/>
        </w:rPr>
        <w:t xml:space="preserve">Three limitations warrant caution in interpreting the findings. First, the analysis is cross-sectional and therefore supports associational rather than causal inference. While the results are consistent with the proposed theoretical arguments, reverse causality and omitted-variable bias cannot be fully ruled out. Highly productive firms may be more likely to invest in digital infrastructure and to expand into international markets, generating a positive association between digital adoption, export intensity, and labour productivity even absent a productivity-enhancing causal channel. Future research using firm-level panel data — should such data become available — would help disentangle selection from causation.</w:t>
      </w:r>
    </w:p>
    <w:p>
      <w:pPr>
        <w:spacing w:after="0" w:line="480" w:lineRule="auto"/>
        <w:ind w:firstLine="720"/>
        <w:jc w:val="both"/>
      </w:pPr>
      <w:r>
        <w:rPr>
          <w:rFonts w:ascii="Times New Roman" w:cs="Times New Roman" w:eastAsia="Times New Roman" w:hAnsi="Times New Roman"/>
          <w:sz w:val="20"/>
          <w:szCs w:val="20"/>
        </w:rPr>
        <w:t xml:space="preserve">Second, the present sample contains a thin right tail of high-intensity exporters, with only 18% of firms reporting non-zero exports and only 3% exceeding 50% export intensity. This constrains statistical precision exactly where the moderation effect is theoretically most relevant and suggests caution in generalizing from the upper end of the export distribution. Although the scale-enabling-complement finding (FSTS &gt; 70%) is statistically significant in the present sample, replication on larger samples of high-intensity exporters from comparable digital-frontier economies would strengthen the inference.</w:t>
      </w:r>
    </w:p>
    <w:p>
      <w:pPr>
        <w:spacing w:after="0" w:line="480" w:lineRule="auto"/>
        <w:ind w:firstLine="720"/>
        <w:jc w:val="both"/>
      </w:pPr>
      <w:r>
        <w:rPr>
          <w:rFonts w:ascii="Times New Roman" w:cs="Times New Roman" w:eastAsia="Times New Roman" w:hAnsi="Times New Roman"/>
          <w:sz w:val="20"/>
          <w:szCs w:val="20"/>
        </w:rPr>
        <w:t xml:space="preserve">Third, the estimated moderation effect is statistically detectable but substantively modest (Cohen's f² ≈ 0.018, below Cohen's "small" threshold although consistent with typical moderation effects in organizational research; Aguinis et al., 2005). The findings should therefore be treated as an initial firm-level test of a digital-frontier argument rather than as definitive evidence of a generalized boundary condition. Future research should examine whether the same pattern appears in other digitally mature economies (e.g., Hong Kong, South Korea, Taiwan) and under richer measures of digital adoption beyond the WBES B-READY items.</w:t>
      </w:r>
    </w:p>
    <w:p>
      <w:pPr>
        <w:spacing w:after="0" w:line="480" w:lineRule="auto"/>
        <w:ind w:firstLine="720"/>
        <w:jc w:val="both"/>
      </w:pPr>
      <w:r>
        <w:rPr>
          <w:rFonts w:ascii="Times New Roman" w:cs="Times New Roman" w:eastAsia="Times New Roman" w:hAnsi="Times New Roman"/>
          <w:sz w:val="20"/>
          <w:szCs w:val="20"/>
        </w:rPr>
        <w:t xml:space="preserve">Future research should also extend the two-construct architecture across digital-frontier economies, develop measurement instruments for finer-grained dimensions of digital adoption beyond basic website and electronic-payment indicators, and examine whether the scale-enabling-complement pattern operates through identifiable mechanisms (e.g., supplier-side digital integration, customer-facing digital channels, internal ERP integration; Banalieva &amp; Dhanaraj, 2019; Stallkamp &amp; Schotter, 2021).</w:t>
      </w:r>
    </w:p>
    <w:p>
      <w:pPr>
        <w:pageBreakBefore/>
        <w:spacing w:after="240" w:before="360"/>
        <w:jc w:val="left"/>
      </w:pPr>
      <w:r>
        <w:rPr>
          <w:rFonts w:ascii="Times New Roman" w:cs="Times New Roman" w:eastAsia="Times New Roman" w:hAnsi="Times New Roman"/>
          <w:b/>
          <w:bCs/>
          <w:sz w:val="24"/>
          <w:szCs w:val="24"/>
        </w:rPr>
        <w:t xml:space="preserve">References</w:t>
      </w:r>
    </w:p>
    <w:p>
      <w:pPr>
        <w:spacing w:after="60" w:line="360" w:lineRule="auto"/>
        <w:ind w:left="720" w:hanging="720"/>
        <w:jc w:val="left"/>
      </w:pPr>
      <w:r>
        <w:rPr>
          <w:rFonts w:ascii="Times New Roman" w:cs="Times New Roman" w:eastAsia="Times New Roman" w:hAnsi="Times New Roman"/>
          <w:sz w:val="20"/>
          <w:szCs w:val="20"/>
        </w:rPr>
        <w:t xml:space="preserve">Aguinis, H., Beaty, J. C., Boik, R. J., &amp; Pierce, C. A. (2005). Effect size and power in assessing moderating effects of categorical variables using multiple regression: A 30-year review. Journal of Applied Psychology, 90(1), 94–107. https://doi.org/10.1037/0021-9010.90.1.94</w:t>
      </w:r>
    </w:p>
    <w:p>
      <w:pPr>
        <w:spacing w:after="60" w:line="360" w:lineRule="auto"/>
        <w:ind w:left="720" w:hanging="720"/>
        <w:jc w:val="left"/>
      </w:pPr>
      <w:r>
        <w:rPr>
          <w:rFonts w:ascii="Times New Roman" w:cs="Times New Roman" w:eastAsia="Times New Roman" w:hAnsi="Times New Roman"/>
          <w:sz w:val="20"/>
          <w:szCs w:val="20"/>
        </w:rPr>
        <w:t xml:space="preserve">Aiken, L. S., &amp; West, S. G. (1991). Multiple regression: Testing and interpreting interactions. Sage.</w:t>
      </w:r>
    </w:p>
    <w:p>
      <w:pPr>
        <w:spacing w:after="60" w:line="360" w:lineRule="auto"/>
        <w:ind w:left="720" w:hanging="720"/>
        <w:jc w:val="left"/>
      </w:pPr>
      <w:r>
        <w:rPr>
          <w:rFonts w:ascii="Times New Roman" w:cs="Times New Roman" w:eastAsia="Times New Roman" w:hAnsi="Times New Roman"/>
          <w:sz w:val="20"/>
          <w:szCs w:val="20"/>
        </w:rPr>
        <w:t xml:space="preserve">Avenyo, E. K., Tregenna, F., &amp; Kraemer-Mbula, E. (2021). Do productive capabilities affect export performance? Microeconomic evidence from sub-Saharan Africa. European Journal of Development Research, 33(2), 304–329. https://doi.org/10.1057/s41287-020-00328-2</w:t>
      </w:r>
    </w:p>
    <w:p>
      <w:pPr>
        <w:spacing w:after="60" w:line="360" w:lineRule="auto"/>
        <w:ind w:left="720" w:hanging="720"/>
        <w:jc w:val="left"/>
      </w:pPr>
      <w:r>
        <w:rPr>
          <w:rFonts w:ascii="Times New Roman" w:cs="Times New Roman" w:eastAsia="Times New Roman" w:hAnsi="Times New Roman"/>
          <w:sz w:val="20"/>
          <w:szCs w:val="20"/>
        </w:rPr>
        <w:t xml:space="preserve">Banalieva, E. R., &amp; Dhanaraj, C. (2019). Internalization theory for the digital economy. Journal of International Business Studies, 50(8), 1372–1387. https://doi.org/10.1057/s41267-019-00243-7</w:t>
      </w:r>
    </w:p>
    <w:p>
      <w:pPr>
        <w:spacing w:after="60" w:line="360" w:lineRule="auto"/>
        <w:ind w:left="720" w:hanging="720"/>
        <w:jc w:val="left"/>
      </w:pPr>
      <w:r>
        <w:rPr>
          <w:rFonts w:ascii="Times New Roman" w:cs="Times New Roman" w:eastAsia="Times New Roman" w:hAnsi="Times New Roman"/>
          <w:sz w:val="20"/>
          <w:szCs w:val="20"/>
        </w:rPr>
        <w:t xml:space="preserve">Barney, J. (1991). Firm resources and sustained competitive advantage. Journal of Management, 17(1), 99–120. https://doi.org/10.1177/014920639101700108</w:t>
      </w:r>
    </w:p>
    <w:p>
      <w:pPr>
        <w:spacing w:after="60" w:line="360" w:lineRule="auto"/>
        <w:ind w:left="720" w:hanging="720"/>
        <w:jc w:val="left"/>
      </w:pPr>
      <w:r>
        <w:rPr>
          <w:rFonts w:ascii="Times New Roman" w:cs="Times New Roman" w:eastAsia="Times New Roman" w:hAnsi="Times New Roman"/>
          <w:sz w:val="20"/>
          <w:szCs w:val="20"/>
        </w:rPr>
        <w:t xml:space="preserve">Bharadwaj, A., El Sawy, O. A., Pavlou, P. A., &amp; Venkatraman, N. (2013). Digital business strategy: Toward a next generation of insights. MIS Quarterly, 37(2), 471–482. https://doi.org/10.25300/MISQ/2013/37:2.3</w:t>
      </w:r>
    </w:p>
    <w:p>
      <w:pPr>
        <w:spacing w:after="60" w:line="360" w:lineRule="auto"/>
        <w:ind w:left="720" w:hanging="720"/>
        <w:jc w:val="left"/>
      </w:pPr>
      <w:r>
        <w:rPr>
          <w:rFonts w:ascii="Times New Roman" w:cs="Times New Roman" w:eastAsia="Times New Roman" w:hAnsi="Times New Roman"/>
          <w:sz w:val="20"/>
          <w:szCs w:val="20"/>
        </w:rPr>
        <w:t xml:space="preserve">Brynjolfsson, E., Rock, D., &amp; Syverson, C. (2021). The productivity J-curve: How intangibles complement general purpose technologies. American Economic Journal: Macroeconomics, 13(1), 333–372. https://doi.org/10.1257/mac.20180386</w:t>
      </w:r>
    </w:p>
    <w:p>
      <w:pPr>
        <w:spacing w:after="60" w:line="360" w:lineRule="auto"/>
        <w:ind w:left="720" w:hanging="720"/>
        <w:jc w:val="left"/>
      </w:pPr>
      <w:r>
        <w:rPr>
          <w:rFonts w:ascii="Times New Roman" w:cs="Times New Roman" w:eastAsia="Times New Roman" w:hAnsi="Times New Roman"/>
          <w:sz w:val="20"/>
          <w:szCs w:val="20"/>
        </w:rPr>
        <w:t xml:space="preserve">Cohen, J. (1988). Statistical power analysis for the behavioral sciences (2nd ed.). Lawrence Erlbaum.</w:t>
      </w:r>
    </w:p>
    <w:p>
      <w:pPr>
        <w:spacing w:after="60" w:line="360" w:lineRule="auto"/>
        <w:ind w:left="720" w:hanging="720"/>
        <w:jc w:val="left"/>
      </w:pPr>
      <w:r>
        <w:rPr>
          <w:rFonts w:ascii="Times New Roman" w:cs="Times New Roman" w:eastAsia="Times New Roman" w:hAnsi="Times New Roman"/>
          <w:sz w:val="20"/>
          <w:szCs w:val="20"/>
        </w:rPr>
        <w:t xml:space="preserve">Cohen, W. M., &amp; Levinthal, D. A. (1990). Absorptive capacity: A new perspective on learning and innovation. Administrative Science Quarterly, 35(1), 128–152. https://doi.org/10.2307/2393553</w:t>
      </w:r>
    </w:p>
    <w:p>
      <w:pPr>
        <w:spacing w:after="60" w:line="360" w:lineRule="auto"/>
        <w:ind w:left="720" w:hanging="720"/>
        <w:jc w:val="left"/>
      </w:pPr>
      <w:r>
        <w:rPr>
          <w:rFonts w:ascii="Times New Roman" w:cs="Times New Roman" w:eastAsia="Times New Roman" w:hAnsi="Times New Roman"/>
          <w:sz w:val="20"/>
          <w:szCs w:val="20"/>
        </w:rPr>
        <w:t xml:space="preserve">Coltman, T., Devinney, T. M., Midgley, D. F., &amp; Venaik, S. (2008). Formative versus reflective measurement models: Two applications of formative measurement. Journal of Business Research, 61(12), 1250–1262. https://doi.org/10.1016/j.jbusres.2008.01.013</w:t>
      </w:r>
    </w:p>
    <w:p>
      <w:pPr>
        <w:spacing w:after="60" w:line="360" w:lineRule="auto"/>
        <w:ind w:left="720" w:hanging="720"/>
        <w:jc w:val="left"/>
      </w:pPr>
      <w:r>
        <w:rPr>
          <w:rFonts w:ascii="Times New Roman" w:cs="Times New Roman" w:eastAsia="Times New Roman" w:hAnsi="Times New Roman"/>
          <w:sz w:val="20"/>
          <w:szCs w:val="20"/>
        </w:rPr>
        <w:t xml:space="preserve">Contractor, F. J. (2007). Is international business good for companies? The evolutionary or multi-stage theory of internationalization vs. the transaction cost perspective. Management International Review, 47(3), 453–475. https://doi.org/10.1007/s11575-007-0024-2</w:t>
      </w:r>
    </w:p>
    <w:p>
      <w:pPr>
        <w:spacing w:after="60" w:line="360" w:lineRule="auto"/>
        <w:ind w:left="720" w:hanging="720"/>
        <w:jc w:val="left"/>
      </w:pPr>
      <w:r>
        <w:rPr>
          <w:rFonts w:ascii="Times New Roman" w:cs="Times New Roman" w:eastAsia="Times New Roman" w:hAnsi="Times New Roman"/>
          <w:sz w:val="20"/>
          <w:szCs w:val="20"/>
        </w:rPr>
        <w:t xml:space="preserve">Contractor, F. J., Kundu, S. K., &amp; Hsu, C.-C. (2003). A three-stage theory of international expansion: The link between multinationality and performance in the service sector. Journal of International Business Studies, 34(1), 5–18. https://doi.org/10.1057/palgrave.jibs.8400003</w:t>
      </w:r>
    </w:p>
    <w:p>
      <w:pPr>
        <w:spacing w:after="60" w:line="360" w:lineRule="auto"/>
        <w:ind w:left="720" w:hanging="720"/>
        <w:jc w:val="left"/>
      </w:pPr>
      <w:r>
        <w:rPr>
          <w:rFonts w:ascii="Times New Roman" w:cs="Times New Roman" w:eastAsia="Times New Roman" w:hAnsi="Times New Roman"/>
          <w:sz w:val="20"/>
          <w:szCs w:val="20"/>
        </w:rPr>
        <w:t xml:space="preserve">Haans, R. F. J., Pieters, C., &amp; He, Z.-L. (2016). Thinking about U: Theorizing and testing U- and inverted U-shaped relationships in strategy research. Strategic Management Journal, 37(7), 1177–1195. https://doi.org/10.1002/smj.2399</w:t>
      </w:r>
    </w:p>
    <w:p>
      <w:pPr>
        <w:spacing w:after="60" w:line="360" w:lineRule="auto"/>
        <w:ind w:left="720" w:hanging="720"/>
        <w:jc w:val="left"/>
      </w:pPr>
      <w:r>
        <w:rPr>
          <w:rFonts w:ascii="Times New Roman" w:cs="Times New Roman" w:eastAsia="Times New Roman" w:hAnsi="Times New Roman"/>
          <w:sz w:val="20"/>
          <w:szCs w:val="20"/>
        </w:rPr>
        <w:t xml:space="preserve">Hambrick, D. C., &amp; Mason, P. A. (1984). Upper echelons: The organization as a reflection of its top managers. Academy of Management Review, 9(2), 193–206. https://doi.org/10.5465/amr.1984.4277628</w:t>
      </w:r>
    </w:p>
    <w:p>
      <w:pPr>
        <w:spacing w:after="60" w:line="360" w:lineRule="auto"/>
        <w:ind w:left="720" w:hanging="720"/>
        <w:jc w:val="left"/>
      </w:pPr>
      <w:r>
        <w:rPr>
          <w:rFonts w:ascii="Times New Roman" w:cs="Times New Roman" w:eastAsia="Times New Roman" w:hAnsi="Times New Roman"/>
          <w:sz w:val="20"/>
          <w:szCs w:val="20"/>
        </w:rPr>
        <w:t xml:space="preserve">Hitt, M. A., Hoskisson, R. E., &amp; Kim, H. (1997). International diversification: Effects on innovation and firm performance in product-diversified firms. Academy of Management Journal, 40(4), 767–798. https://doi.org/10.5465/256948</w:t>
      </w:r>
    </w:p>
    <w:p>
      <w:pPr>
        <w:spacing w:after="60" w:line="360" w:lineRule="auto"/>
        <w:ind w:left="720" w:hanging="720"/>
        <w:jc w:val="left"/>
      </w:pPr>
      <w:r>
        <w:rPr>
          <w:rFonts w:ascii="Times New Roman" w:cs="Times New Roman" w:eastAsia="Times New Roman" w:hAnsi="Times New Roman"/>
          <w:sz w:val="20"/>
          <w:szCs w:val="20"/>
        </w:rPr>
        <w:t xml:space="preserve">Krammer, S. M. S., Strange, R., &amp; Lashitew, A. (2018). The export performance of emerging economy firms. International Business Review, 27(1), 218–230. https://doi.org/10.1016/j.ibusrev.2017.07.003</w:t>
      </w:r>
    </w:p>
    <w:p>
      <w:pPr>
        <w:spacing w:after="60" w:line="360" w:lineRule="auto"/>
        <w:ind w:left="720" w:hanging="720"/>
        <w:jc w:val="left"/>
      </w:pPr>
      <w:r>
        <w:rPr>
          <w:rFonts w:ascii="Times New Roman" w:cs="Times New Roman" w:eastAsia="Times New Roman" w:hAnsi="Times New Roman"/>
          <w:sz w:val="20"/>
          <w:szCs w:val="20"/>
        </w:rPr>
        <w:t xml:space="preserve">Lall, S. (1992). Technological capabilities and industrialization. World Development, 20(2), 165–186. https://doi.org/10.1016/0305-750X(92)90097-F</w:t>
      </w:r>
    </w:p>
    <w:p>
      <w:pPr>
        <w:spacing w:after="60" w:line="360" w:lineRule="auto"/>
        <w:ind w:left="720" w:hanging="720"/>
        <w:jc w:val="left"/>
      </w:pPr>
      <w:r>
        <w:rPr>
          <w:rFonts w:ascii="Times New Roman" w:cs="Times New Roman" w:eastAsia="Times New Roman" w:hAnsi="Times New Roman"/>
          <w:sz w:val="20"/>
          <w:szCs w:val="20"/>
        </w:rPr>
        <w:t xml:space="preserve">Lind, J. T., &amp; Mehlum, H. (2010). With or without U? The appropriate test for a U-shaped relationship. Oxford Bulletin of Economics and Statistics, 72(1), 109–118. https://doi.org/10.1111/j.1468-0084.2009.00569.x</w:t>
      </w:r>
    </w:p>
    <w:p>
      <w:pPr>
        <w:spacing w:after="60" w:line="360" w:lineRule="auto"/>
        <w:ind w:left="720" w:hanging="720"/>
        <w:jc w:val="left"/>
      </w:pPr>
      <w:r>
        <w:rPr>
          <w:rFonts w:ascii="Times New Roman" w:cs="Times New Roman" w:eastAsia="Times New Roman" w:hAnsi="Times New Roman"/>
          <w:sz w:val="20"/>
          <w:szCs w:val="20"/>
        </w:rPr>
        <w:t xml:space="preserve">Lu, J. W., &amp; Beamish, P. W. (2004). International diversification and firm performance: The S-curve hypothesis. Academy of Management Journal, 47(4), 598–609. https://doi.org/10.5465/20159604</w:t>
      </w:r>
    </w:p>
    <w:p>
      <w:pPr>
        <w:spacing w:after="60" w:line="360" w:lineRule="auto"/>
        <w:ind w:left="720" w:hanging="720"/>
        <w:jc w:val="left"/>
      </w:pPr>
      <w:r>
        <w:rPr>
          <w:rFonts w:ascii="Times New Roman" w:cs="Times New Roman" w:eastAsia="Times New Roman" w:hAnsi="Times New Roman"/>
          <w:sz w:val="20"/>
          <w:szCs w:val="20"/>
        </w:rPr>
        <w:t xml:space="preserve">MacKinnon, J. G., &amp; White, H. (1985). Some heteroskedasticity-consistent covariance matrix estimators with improved finite sample properties. Journal of Econometrics, 29(3), 305–325. https://doi.org/10.1016/0304-4076(85)90158-7</w:t>
      </w:r>
    </w:p>
    <w:p>
      <w:pPr>
        <w:spacing w:after="60" w:line="360" w:lineRule="auto"/>
        <w:ind w:left="720" w:hanging="720"/>
        <w:jc w:val="left"/>
      </w:pPr>
      <w:r>
        <w:rPr>
          <w:rFonts w:ascii="Times New Roman" w:cs="Times New Roman" w:eastAsia="Times New Roman" w:hAnsi="Times New Roman"/>
          <w:sz w:val="20"/>
          <w:szCs w:val="20"/>
        </w:rPr>
        <w:t xml:space="preserve">Marano, V., Arregle, J.-L., Hitt, M. A., Spadafora, E., &amp; van Essen, M. (2016). Home country institutions and the internationalization-performance relationship: A meta-analytic review. Journal of Management, 42(5), 1075–1110. https://doi.org/10.1177/0149206315608961</w:t>
      </w:r>
    </w:p>
    <w:p>
      <w:pPr>
        <w:spacing w:after="60" w:line="360" w:lineRule="auto"/>
        <w:ind w:left="720" w:hanging="720"/>
        <w:jc w:val="left"/>
      </w:pPr>
      <w:r>
        <w:rPr>
          <w:rFonts w:ascii="Times New Roman" w:cs="Times New Roman" w:eastAsia="Times New Roman" w:hAnsi="Times New Roman"/>
          <w:sz w:val="20"/>
          <w:szCs w:val="20"/>
        </w:rPr>
        <w:t xml:space="preserve">O'Brien, R. M. (2007). A caution regarding rules of thumb for variance inflation factors. Quality &amp; Quantity, 41(5), 673–690. https://doi.org/10.1007/s11135-006-9018-6</w:t>
      </w:r>
    </w:p>
    <w:p>
      <w:pPr>
        <w:spacing w:after="60" w:line="360" w:lineRule="auto"/>
        <w:ind w:left="720" w:hanging="720"/>
        <w:jc w:val="left"/>
      </w:pPr>
      <w:r>
        <w:rPr>
          <w:rFonts w:ascii="Times New Roman" w:cs="Times New Roman" w:eastAsia="Times New Roman" w:hAnsi="Times New Roman"/>
          <w:sz w:val="20"/>
          <w:szCs w:val="20"/>
        </w:rPr>
        <w:t xml:space="preserve">Peng, M. W. (2003). Institutional transitions and strategic choices. Academy of Management Review, 28(2), 275–296. https://doi.org/10.5465/amr.2003.9416341</w:t>
      </w:r>
    </w:p>
    <w:p>
      <w:pPr>
        <w:spacing w:after="60" w:line="360" w:lineRule="auto"/>
        <w:ind w:left="720" w:hanging="720"/>
        <w:jc w:val="left"/>
      </w:pPr>
      <w:r>
        <w:rPr>
          <w:rFonts w:ascii="Times New Roman" w:cs="Times New Roman" w:eastAsia="Times New Roman" w:hAnsi="Times New Roman"/>
          <w:sz w:val="20"/>
          <w:szCs w:val="20"/>
        </w:rPr>
        <w:t xml:space="preserve">Peng, M. W., Wang, D. Y. L., &amp; Jiang, Y. (2008). An institution-based view of international business strategy: A focus on emerging economies. Journal of International Business Studies, 39(5), 920–936. https://doi.org/10.1057/palgrave.jibs.8400377</w:t>
      </w:r>
    </w:p>
    <w:p>
      <w:pPr>
        <w:spacing w:after="60" w:line="360" w:lineRule="auto"/>
        <w:ind w:left="720" w:hanging="720"/>
        <w:jc w:val="left"/>
      </w:pPr>
      <w:r>
        <w:rPr>
          <w:rFonts w:ascii="Times New Roman" w:cs="Times New Roman" w:eastAsia="Times New Roman" w:hAnsi="Times New Roman"/>
          <w:sz w:val="20"/>
          <w:szCs w:val="20"/>
        </w:rPr>
        <w:t xml:space="preserve">Rugman, A. M., &amp; Verbeke, A. (2004). A perspective on regional and global strategies of multinational enterprises. Journal of International Business Studies, 35(1), 3–18. https://doi.org/10.1057/palgrave.jibs.8400073</w:t>
      </w:r>
    </w:p>
    <w:p>
      <w:pPr>
        <w:spacing w:after="60" w:line="360" w:lineRule="auto"/>
        <w:ind w:left="720" w:hanging="720"/>
        <w:jc w:val="left"/>
      </w:pPr>
      <w:r>
        <w:rPr>
          <w:rFonts w:ascii="Times New Roman" w:cs="Times New Roman" w:eastAsia="Times New Roman" w:hAnsi="Times New Roman"/>
          <w:sz w:val="20"/>
          <w:szCs w:val="20"/>
        </w:rPr>
        <w:t xml:space="preserve">Stallkamp, M., &amp; Schotter, A. P. J. (2021). Platforms without borders? The international strategies of digital platform firms. Global Strategy Journal, 11(1), 58–80. https://doi.org/10.1002/gsj.1336</w:t>
      </w:r>
    </w:p>
    <w:p>
      <w:pPr>
        <w:spacing w:after="60" w:line="360" w:lineRule="auto"/>
        <w:ind w:left="720" w:hanging="720"/>
        <w:jc w:val="left"/>
      </w:pPr>
      <w:r>
        <w:rPr>
          <w:rFonts w:ascii="Times New Roman" w:cs="Times New Roman" w:eastAsia="Times New Roman" w:hAnsi="Times New Roman"/>
          <w:sz w:val="20"/>
          <w:szCs w:val="20"/>
        </w:rPr>
        <w:t xml:space="preserve">Verhoef, P. C., Broekhuizen, T., Bart, Y., Bhattacharya, A., Dong, J. Q., Fabian, N., &amp; Haenlein, M. (2021). Digital transformation: A multidisciplinary reflection and research agenda. Journal of Business Research, 122, 889–901. https://doi.org/10.1016/j.jbusres.2019.09.022</w:t>
      </w:r>
    </w:p>
    <w:p>
      <w:pPr>
        <w:spacing w:after="60" w:line="360" w:lineRule="auto"/>
        <w:ind w:left="720" w:hanging="720"/>
        <w:jc w:val="left"/>
      </w:pPr>
      <w:r>
        <w:rPr>
          <w:rFonts w:ascii="Times New Roman" w:cs="Times New Roman" w:eastAsia="Times New Roman" w:hAnsi="Times New Roman"/>
          <w:sz w:val="20"/>
          <w:szCs w:val="20"/>
        </w:rPr>
        <w:t xml:space="preserve">World Bank. (2024). World Bank Enterprise Survey: Singapore 2023. https://www.enterprisesurveys.org</w:t>
      </w:r>
    </w:p>
    <w:p>
      <w:r>
        <w:br w:type="page"/>
      </w:r>
    </w:p>
    <w:p>
      <w:pPr>
        <w:jc w:val="center"/>
      </w:pPr>
      <w:r>
        <w:drawing>
          <wp:inline xmlns:a="http://schemas.openxmlformats.org/drawingml/2006/main" xmlns:pic="http://schemas.openxmlformats.org/drawingml/2006/picture">
            <wp:extent cx="5029200" cy="3351857"/>
            <wp:docPr id="2" name="Picture 2"/>
            <wp:cNvGraphicFramePr>
              <a:graphicFrameLocks noChangeAspect="1"/>
            </wp:cNvGraphicFramePr>
            <a:graphic>
              <a:graphicData uri="http://schemas.openxmlformats.org/drawingml/2006/picture">
                <pic:pic>
                  <pic:nvPicPr>
                    <pic:cNvPr id="0" name="019dd435-Figure1_Conceptual_Model4.png"/>
                    <pic:cNvPicPr/>
                  </pic:nvPicPr>
                  <pic:blipFill>
                    <a:blip r:embed="rId7"/>
                    <a:stretch>
                      <a:fillRect/>
                    </a:stretch>
                  </pic:blipFill>
                  <pic:spPr>
                    <a:xfrm>
                      <a:off x="0" y="0"/>
                      <a:ext cx="5029200" cy="3351857"/>
                    </a:xfrm>
                    <a:prstGeom prst="rect"/>
                  </pic:spPr>
                </pic:pic>
              </a:graphicData>
            </a:graphic>
          </wp:inline>
        </w:drawing>
      </w:r>
    </w:p>
    <w:p>
      <w:pPr>
        <w:jc w:val="center"/>
      </w:pPr>
      <w:r>
        <w:rPr>
          <w:rFonts w:ascii="Times New Roman" w:hAnsi="Times New Roman"/>
          <w:i/>
          <w:sz w:val="18"/>
        </w:rPr>
        <w:t>Figure 1. Conceptual model: Technological capability, digital adoption, and the internationalization-performance relationship.</w:t>
      </w:r>
    </w:p>
    <w:p>
      <w:r>
        <w:br w:type="page"/>
      </w:r>
    </w:p>
    <w:p>
      <w:pPr>
        <w:jc w:val="center"/>
      </w:pPr>
      <w:r>
        <w:drawing>
          <wp:inline xmlns:a="http://schemas.openxmlformats.org/drawingml/2006/main" xmlns:pic="http://schemas.openxmlformats.org/drawingml/2006/picture">
            <wp:extent cx="5029200" cy="3544736"/>
            <wp:docPr id="3" name="Picture 3"/>
            <wp:cNvGraphicFramePr>
              <a:graphicFrameLocks noChangeAspect="1"/>
            </wp:cNvGraphicFramePr>
            <a:graphic>
              <a:graphicData uri="http://schemas.openxmlformats.org/drawingml/2006/picture">
                <pic:pic>
                  <pic:nvPicPr>
                    <pic:cNvPr id="0" name="Figure1_DAI_Marginal_Effects.png"/>
                    <pic:cNvPicPr/>
                  </pic:nvPicPr>
                  <pic:blipFill>
                    <a:blip r:embed="rId9"/>
                    <a:stretch>
                      <a:fillRect/>
                    </a:stretch>
                  </pic:blipFill>
                  <pic:spPr>
                    <a:xfrm>
                      <a:off x="0" y="0"/>
                      <a:ext cx="5029200" cy="3544736"/>
                    </a:xfrm>
                    <a:prstGeom prst="rect"/>
                  </pic:spPr>
                </pic:pic>
              </a:graphicData>
            </a:graphic>
          </wp:inline>
        </w:drawing>
      </w:r>
    </w:p>
    <w:p>
      <w:pPr>
        <w:jc w:val="center"/>
      </w:pPr>
      <w:r>
        <w:rPr>
          <w:rFonts w:ascii="Times New Roman" w:hAnsi="Times New Roman"/>
          <w:i/>
          <w:sz w:val="18"/>
        </w:rPr>
        <w:t>Figure 2. Marginal effects of DAI across FSTS with 95% confidence interval bands.</w:t>
      </w:r>
    </w:p>
    <w:p>
      <w:r>
        <w:br w:type="page"/>
      </w:r>
    </w:p>
    <w:p>
      <w:pPr>
        <w:jc w:val="center"/>
      </w:pPr>
      <w:r>
        <w:drawing>
          <wp:inline xmlns:a="http://schemas.openxmlformats.org/drawingml/2006/main" xmlns:pic="http://schemas.openxmlformats.org/drawingml/2006/picture">
            <wp:extent cx="5029200" cy="3546449"/>
            <wp:docPr id="4" name="Picture 4"/>
            <wp:cNvGraphicFramePr>
              <a:graphicFrameLocks noChangeAspect="1"/>
            </wp:cNvGraphicFramePr>
            <a:graphic>
              <a:graphicData uri="http://schemas.openxmlformats.org/drawingml/2006/picture">
                <pic:pic>
                  <pic:nvPicPr>
                    <pic:cNvPr id="0" name="Figure2_IP_Curve.png"/>
                    <pic:cNvPicPr/>
                  </pic:nvPicPr>
                  <pic:blipFill>
                    <a:blip r:embed="rId10"/>
                    <a:stretch>
                      <a:fillRect/>
                    </a:stretch>
                  </pic:blipFill>
                  <pic:spPr>
                    <a:xfrm>
                      <a:off x="0" y="0"/>
                      <a:ext cx="5029200" cy="3546449"/>
                    </a:xfrm>
                    <a:prstGeom prst="rect"/>
                  </pic:spPr>
                </pic:pic>
              </a:graphicData>
            </a:graphic>
          </wp:inline>
        </w:drawing>
      </w:r>
    </w:p>
    <w:p>
      <w:pPr>
        <w:jc w:val="center"/>
      </w:pPr>
      <w:r>
        <w:rPr>
          <w:rFonts w:ascii="Times New Roman" w:hAnsi="Times New Roman"/>
          <w:i/>
          <w:sz w:val="18"/>
        </w:rPr>
        <w:t>Figure 3. Predicted internationalization-performance curve with 95% confidence band. TP = 83%. N = 623.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8" Type="http://schemas.openxmlformats.org/officeDocument/2006/relationships/fontTable" Target="fontTable.xml"/><Relationship Id="rId7"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P3 Manuscript Blinded</dc:title>
  <dc:creator>Anonymous (blinded for review)</dc:creator>
  <cp:lastModifiedBy>Un-named</cp:lastModifiedBy>
  <cp:revision>1</cp:revision>
  <dcterms:created xsi:type="dcterms:W3CDTF">2026-04-28T12:46:50.345Z</dcterms:created>
  <dcterms:modified xsi:type="dcterms:W3CDTF">2026-04-28T12:46:50.346Z</dcterms:modified>
</cp:coreProperties>
</file>

<file path=docProps/custom.xml><?xml version="1.0" encoding="utf-8"?>
<Properties xmlns="http://schemas.openxmlformats.org/officeDocument/2006/custom-properties" xmlns:vt="http://schemas.openxmlformats.org/officeDocument/2006/docPropsVTypes"/>
</file>