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80" w:line="360" w:lineRule="auto"/>
        <w:jc w:val="center"/>
        <w:rPr/>
      </w:pPr>
      <w:r>
        <w:rPr>
          <w:rFonts w:ascii="Times New Roman" w:cs="Times New Roman" w:eastAsia="Times New Roman" w:hAnsi="Times New Roman"/>
          <w:b w:val="1"/>
          <w:bCs w:val="1"/>
          <w:sz w:val="26"/>
          <w:szCs w:val="26"/>
          <w:rtl w:val="0"/>
        </w:rPr>
        <w:t>Technological Capability, Digital Adoption, and the Internationalization–Performance Relationship in a Digital-Frontier Economy: Evidence From Singapore</w:t>
      </w:r>
      <w:r>
        <w:rPr>
          <w:rtl w:val="0"/>
        </w:rPr>
      </w:r>
    </w:p>
    <w:p w:rsidR="00000000" w:rsidDel="00000000" w:rsidP="00000000" w:rsidRDefault="00000000" w:rsidRPr="00000000" w14:paraId="00000002">
      <w:pPr>
        <w:spacing w:after="160" w:before="280" w:lineRule="auto"/>
        <w:jc w:val="left"/>
        <w:rPr/>
      </w:pPr>
      <w:r>
        <w:rPr>
          <w:rFonts w:ascii="Times New Roman" w:cs="Times New Roman" w:eastAsia="Times New Roman" w:hAnsi="Times New Roman"/>
          <w:b w:val="1"/>
          <w:bCs w:val="1"/>
          <w:sz w:val="22"/>
          <w:szCs w:val="22"/>
          <w:rtl w:val="0"/>
        </w:rPr>
        <w:t xml:space="preserve">Abstract</w:t>
      </w:r>
      <w:r>
        <w:rPr>
          <w:rtl w:val="0"/>
        </w:rPr>
      </w:r>
    </w:p>
    <w:p w:rsidR="00000000" w:rsidDel="00000000" w:rsidP="00000000" w:rsidRDefault="00000000" w:rsidRPr="00000000" w14:paraId="00000003">
      <w:pPr>
        <w:spacing w:after="0" w:line="480" w:lineRule="auto"/>
        <w:jc w:val="both"/>
        <w:rPr/>
      </w:pPr>
      <w:r>
        <w:rPr>
          <w:rFonts w:ascii="Times New Roman" w:cs="Times New Roman" w:eastAsia="Times New Roman" w:hAnsi="Times New Roman"/>
          <w:sz w:val="20"/>
          <w:szCs w:val="20"/>
          <w:rtl w:val="0"/>
        </w:rPr>
        <w:t>This study examines how technological capability and digital adoption shape the internationalization–performance relationship in a digital-frontier economy. Using World Bank Enterprise Survey microdata for Singapore 2023 (N = 623), the analysis develops a two-construct measurement architecture that distinguishes a Technological Capability Index (TCI) from a Digital Adoption Index (DAI). TCI captures firm-internal capability depth in innovation, learning, and operational mastery, whereas DAI captures firms’ uptake of foundational digital interfaces and transaction-enabling mechanisms.</w:t>
      </w:r>
      <w:r>
        <w:rPr>
          <w:rtl w:val="0"/>
        </w:rPr>
      </w:r>
    </w:p>
    <w:p w:rsidR="00000000" w:rsidDel="00000000" w:rsidP="00000000" w:rsidRDefault="00000000" w:rsidRPr="00000000" w14:paraId="00000003">
      <w:pPr>
        <w:spacing w:after="0" w:line="480" w:lineRule="auto"/>
        <w:jc w:val="both"/>
        <w:rPr/>
      </w:pPr>
      <w:r>
        <w:rPr>
          <w:rFonts w:ascii="Times New Roman" w:cs="Times New Roman" w:eastAsia="Times New Roman" w:hAnsi="Times New Roman"/>
          <w:sz w:val="20"/>
          <w:szCs w:val="20"/>
          <w:rtl w:val="0"/>
        </w:rPr>
        <w:t>The results show that TCI is positively associated with labour productivity and operates primarily as a level-shift effect on the productivity intercept rather than as a curvature-shaping moderator. The baseline internationalization–performance pattern is best characterized as predominantly monotonic positive with mild quadratic curvature within the observed export-intensity range; although the fitted curve implies a turning point at very high export intensity, formal statistical support for a conventional inverted-U is not established. DAI shows conditional rather than universal relevance: its productivity association becomes more positive at higher levels of export intensity, with the strongest evidence concentrated in the high-export tail. These findings refine the boundary conditions of the internationalization–performance literature by suggesting that, in a digitally mature institutional environment, the classic right-side decline of the curve may be attenuated or shifted toward sparsely populated levels of export intensity. The study also contributes sharper construct validity by distinguishing technological capability from foundational digital adoption and by showing that digital adoption in a digital-frontier economy is better understood as a scale-enabling complement than as a uniform firm-level productivity premium.</w:t>
      </w:r>
      <w:r>
        <w:rPr>
          <w:rtl w:val="0"/>
        </w:rPr>
      </w:r>
    </w:p>
    <w:p w:rsidR="00000000" w:rsidDel="00000000" w:rsidP="00000000" w:rsidRDefault="00000000" w:rsidRPr="00000000" w14:paraId="00000004">
      <w:pPr>
        <w:spacing w:after="120" w:line="480" w:lineRule="auto"/>
        <w:jc w:val="left"/>
        <w:rPr/>
      </w:pPr>
      <w:r>
        <w:rPr>
          <w:rtl w:val="0"/>
        </w:rPr>
      </w:r>
    </w:p>
    <w:p w:rsidR="00000000" w:rsidDel="00000000" w:rsidP="00000000" w:rsidRDefault="00000000" w:rsidRPr="00000000" w14:paraId="00000005">
      <w:pPr>
        <w:spacing w:after="0" w:line="480" w:lineRule="auto"/>
        <w:jc w:val="left"/>
        <w:rPr/>
      </w:pPr>
      <w:r>
        <w:rPr>
          <w:rFonts w:ascii="Times New Roman" w:cs="Times New Roman" w:eastAsia="Times New Roman" w:hAnsi="Times New Roman"/>
          <w:b w:val="1"/>
          <w:bCs w:val="1"/>
          <w:sz w:val="20"/>
          <w:szCs w:val="20"/>
          <w:rtl w:val="0"/>
        </w:rPr>
        <w:t>Keywords: internationalization–performance relationship; digital adoption; technological capability; boundary conditions; Singapore</w:t>
      </w:r>
      <w:r>
        <w:rPr>
          <w:rtl w:val="0"/>
        </w:rPr>
      </w:r>
    </w:p>
    <w:p w:rsidR="00000000" w:rsidDel="00000000" w:rsidP="00000000" w:rsidRDefault="00000000" w:rsidRPr="00000000" w14:paraId="00000006">
      <w:pPr>
        <w:spacing w:after="240" w:before="360" w:lineRule="auto"/>
        <w:jc w:val="left"/>
        <w:rPr/>
      </w:pPr>
      <w:r>
        <w:rPr>
          <w:rFonts w:ascii="Times New Roman" w:cs="Times New Roman" w:eastAsia="Times New Roman" w:hAnsi="Times New Roman"/>
          <w:b w:val="1"/>
          <w:bCs w:val="1"/>
          <w:sz w:val="24"/>
          <w:szCs w:val="24"/>
          <w:rtl w:val="0"/>
        </w:rPr>
        <w:t xml:space="preserve">1 Introduction</w:t>
      </w:r>
      <w:r>
        <w:rPr>
          <w:rtl w:val="0"/>
        </w:rPr>
      </w:r>
    </w:p>
    <w:p w:rsidR="00000000" w:rsidDel="00000000" w:rsidP="00000000" w:rsidRDefault="00000000" w:rsidRPr="00000000" w14:paraId="00000007">
      <w:pPr>
        <w:spacing w:after="160" w:before="280" w:lineRule="auto"/>
        <w:jc w:val="left"/>
        <w:rPr/>
      </w:pPr>
      <w:r>
        <w:rPr>
          <w:rFonts w:ascii="Times New Roman" w:cs="Times New Roman" w:eastAsia="Times New Roman" w:hAnsi="Times New Roman"/>
          <w:b w:val="1"/>
          <w:bCs w:val="1"/>
          <w:sz w:val="22"/>
          <w:szCs w:val="22"/>
          <w:rtl w:val="0"/>
        </w:rPr>
        <w:t xml:space="preserve">1.1 Background and motivation</w:t>
      </w:r>
      <w:r>
        <w:rPr>
          <w:rtl w:val="0"/>
        </w:rPr>
      </w:r>
    </w:p>
    <w:p w:rsidR="00000000" w:rsidDel="00000000" w:rsidP="00000000" w:rsidRDefault="00000000" w:rsidRPr="00000000" w14:paraId="00000008">
      <w:pPr>
        <w:spacing w:after="0" w:line="480" w:lineRule="auto"/>
        <w:ind w:firstLine="720"/>
        <w:jc w:val="both"/>
        <w:rPr/>
      </w:pPr>
      <w:r>
        <w:rPr>
          <w:rFonts w:ascii="Times New Roman" w:cs="Times New Roman" w:eastAsia="Times New Roman" w:hAnsi="Times New Roman"/>
          <w:sz w:val="20"/>
          <w:szCs w:val="20"/>
          <w:rtl w:val="0"/>
        </w:rPr>
        <w:t>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digital-frontier environments (Peng, 2003; Peng et al., 2008) and may not fully capture how the I–P curve behaves when firms operate in a digitally mature institutional environment.</w:t>
      </w:r>
      <w:r>
        <w:rPr>
          <w:rtl w:val="0"/>
        </w:rPr>
      </w:r>
    </w:p>
    <w:p w:rsidR="00000000" w:rsidDel="00000000" w:rsidP="00000000" w:rsidRDefault="00000000" w:rsidRPr="00000000" w14:paraId="00000009">
      <w:pPr>
        <w:spacing w:after="0" w:line="480" w:lineRule="auto"/>
        <w:ind w:firstLine="720"/>
        <w:jc w:val="both"/>
        <w:rPr/>
      </w:pPr>
      <w:r>
        <w:rPr>
          <w:rFonts w:ascii="Times New Roman" w:cs="Times New Roman" w:eastAsia="Times New Roman" w:hAnsi="Times New Roman"/>
          <w:sz w:val="20"/>
          <w:szCs w:val="20"/>
          <w:rtl w:val="0"/>
        </w:rPr>
        <w:t>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rPr>
          <w:rtl w:val="0"/>
        </w:rPr>
      </w:r>
    </w:p>
    <w:p w:rsidR="00000000" w:rsidDel="00000000" w:rsidP="00000000" w:rsidRDefault="00000000" w:rsidRPr="00000000" w14:paraId="00000009">
      <w:pPr>
        <w:spacing w:after="0" w:line="480" w:lineRule="auto"/>
        <w:ind w:firstLine="720"/>
        <w:jc w:val="both"/>
        <w:rPr/>
      </w:pPr>
      <w:r>
        <w:rPr>
          <w:rFonts w:ascii="Times New Roman" w:cs="Times New Roman" w:eastAsia="Times New Roman" w:hAnsi="Times New Roman"/>
          <w:sz w:val="20"/>
          <w:szCs w:val="20"/>
          <w:rtl w:val="0"/>
        </w:rPr>
        <w:t>A second motivation concerns construct clarity. In digitally mature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rPr>
          <w:rtl w:val="0"/>
        </w:rPr>
      </w:r>
    </w:p>
    <w:p w:rsidR="00000000" w:rsidDel="00000000" w:rsidP="00000000" w:rsidRDefault="00000000" w:rsidRPr="00000000" w14:paraId="0000000A">
      <w:pPr>
        <w:spacing w:after="160" w:before="280" w:lineRule="auto"/>
        <w:jc w:val="left"/>
        <w:rPr/>
      </w:pPr>
      <w:r>
        <w:rPr>
          <w:rFonts w:ascii="Times New Roman" w:cs="Times New Roman" w:eastAsia="Times New Roman" w:hAnsi="Times New Roman"/>
          <w:b w:val="1"/>
          <w:bCs w:val="1"/>
          <w:sz w:val="22"/>
          <w:szCs w:val="22"/>
          <w:rtl w:val="0"/>
        </w:rPr>
        <w:t xml:space="preserve">1.2 Research gap</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Three gaps motivate this study. First, the dominant measurement approach has often conflated digital adoption with broader technological capability, making it difficult to determine whether observed productivity differences reflect firm-internal capability depth or firms’ participation in digitally enabled interfaces and transactions (Verhoef et al., 2021). This matters because the two domains imply different mechanisms of advantage and should not be assumed to operate identically across stages of internationalization.</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Second, although recent work on digital internationalization has advanced important theoretical insights (Banalieva &amp; Dhanaraj, 2019; Stallkamp &amp; Schotter, 2021), much of it remains conceptual or focused on multinational samples, leaving under-examined the within-economy firm-level question of how foundational digital adoption interacts with export intensity in a single digitally mature institutional environment. In particular, the literature still lacks clear firm-level evidence on whether basic digital presence and transaction-enabling systems matter uniformly across firms or mainly when cross-border coordination demands intensify (Bharadwaj et al., 2013; Verhoef et al., 2021).</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Third, the nonlinear I–P literature has documented inverted-U patterns extensively, but it has not clearly specified how its coordination-cost logic should behave in digital-frontier settings (Marano et al., 2016). If mature digital infrastructure attenuates the frictions that underpin the right-side decline of the I–P curve, then the conventional turning point may no longer be visible within the export range most firms actually occupy. This leaves an unresolved boundary-condition question: does digital maturity alter the form of the I–P relationship itself, or does it mainly shift the region in which its nonlinear structure becomes observable?</w:t>
      </w:r>
      <w:r>
        <w:rPr>
          <w:rtl w:val="0"/>
        </w:rPr>
      </w:r>
    </w:p>
    <w:p w:rsidR="00000000" w:rsidDel="00000000" w:rsidP="00000000" w:rsidRDefault="00000000" w:rsidRPr="00000000" w14:paraId="0000000C">
      <w:pPr>
        <w:spacing w:after="160" w:before="280" w:lineRule="auto"/>
        <w:jc w:val="left"/>
        <w:rPr/>
      </w:pPr>
      <w:r>
        <w:rPr>
          <w:rFonts w:ascii="Times New Roman" w:cs="Times New Roman" w:eastAsia="Times New Roman" w:hAnsi="Times New Roman"/>
          <w:b w:val="1"/>
          <w:bCs w:val="1"/>
          <w:sz w:val="22"/>
          <w:szCs w:val="22"/>
          <w:rtl w:val="0"/>
        </w:rPr>
        <w:t xml:space="preserve">1.3 Contribution</w:t>
      </w:r>
      <w:r>
        <w:rPr>
          <w:rtl w:val="0"/>
        </w:rPr>
      </w:r>
    </w:p>
    <w:p w:rsidR="00000000" w:rsidDel="00000000" w:rsidP="00000000" w:rsidRDefault="00000000" w:rsidRPr="00000000" w14:paraId="0000000D">
      <w:pPr>
        <w:spacing w:after="0" w:line="480" w:lineRule="auto"/>
        <w:ind w:firstLine="720"/>
        <w:jc w:val="both"/>
        <w:rPr/>
      </w:pPr>
      <w:r>
        <w:rPr>
          <w:rFonts w:ascii="Times New Roman" w:cs="Times New Roman" w:eastAsia="Times New Roman" w:hAnsi="Times New Roman"/>
          <w:sz w:val="20"/>
          <w:szCs w:val="20"/>
          <w:rtl w:val="0"/>
        </w:rPr>
        <w:t>This study makes one primary contribution and two supporting contributions. Its primary contribution is to refine the boundary conditions of the internationalization–performance literature by showing that, in Singapore 2023, the classic right-side decline of the I–P curve is not formally identified within the observed export-intensity range and appears to be shifted toward a sparsely populated upper tail. In doing so, the study qualifies rather than overturns the conventional nonlinear I–P logic summarized in prior meta-analytic work (Marano et al., 2016).</w:t>
      </w:r>
      <w:r>
        <w:rPr>
          <w:rtl w:val="0"/>
        </w:rPr>
      </w:r>
    </w:p>
    <w:p w:rsidR="00000000" w:rsidDel="00000000" w:rsidP="00000000" w:rsidRDefault="00000000" w:rsidRPr="00000000" w14:paraId="0000000E">
      <w:pPr>
        <w:spacing w:after="0" w:line="480" w:lineRule="auto"/>
        <w:ind w:firstLine="720"/>
        <w:jc w:val="both"/>
        <w:rPr/>
      </w:pPr>
      <w:r>
        <w:rPr>
          <w:rFonts w:ascii="Times New Roman" w:cs="Times New Roman" w:eastAsia="Times New Roman" w:hAnsi="Times New Roman"/>
          <w:sz w:val="20"/>
          <w:szCs w:val="20"/>
          <w:rtl w:val="0"/>
        </w:rPr>
        <w:t>The first supporting contribution is measurement-theoretic. The analysis distinguishes technological capability from digital adoption, thereby separating firm-internal capability depth grounded in technological learning and absorptive capacity from foundational digitally enabled market participation (Cohen &amp; Levinthal, 1990; Lall, 1992; Verhoef et al., 2021). The second supporting contribution is substantive. The findings show that foundational digital adoption is better understood as a scale-enabling complement whose productivity relevance becomes stronger at higher export intensity, rather than as a uniform firm-level productivity premium, which is consistent with the broader logic of digital strategy and digitally mediated coordination (Bharadwaj et al., 2013; Verhoef et al., 2021).</w:t>
      </w:r>
      <w:r>
        <w:rPr>
          <w:rtl w:val="0"/>
        </w:rPr>
      </w:r>
    </w:p>
    <w:p w:rsidR="00000000" w:rsidDel="00000000" w:rsidP="00000000" w:rsidRDefault="00000000" w:rsidRPr="00000000" w14:paraId="00000010">
      <w:pPr>
        <w:spacing w:after="160" w:before="280" w:lineRule="auto"/>
        <w:jc w:val="left"/>
        <w:rPr/>
      </w:pPr>
      <w:r>
        <w:rPr>
          <w:rFonts w:ascii="Times New Roman" w:cs="Times New Roman" w:eastAsia="Times New Roman" w:hAnsi="Times New Roman"/>
          <w:b w:val="1"/>
          <w:bCs w:val="1"/>
          <w:sz w:val="22"/>
          <w:szCs w:val="22"/>
          <w:rtl w:val="0"/>
        </w:rPr>
        <w:t xml:space="preserve">1.4 Roadmap</w:t>
      </w:r>
      <w:r>
        <w:rPr>
          <w:rtl w:val="0"/>
        </w:rPr>
      </w:r>
    </w:p>
    <w:p w:rsidR="00000000" w:rsidDel="00000000" w:rsidP="00000000" w:rsidRDefault="00000000" w:rsidRPr="00000000" w14:paraId="00000011">
      <w:pPr>
        <w:spacing w:after="0" w:line="480" w:lineRule="auto"/>
        <w:ind w:firstLine="720"/>
        <w:jc w:val="both"/>
        <w:rPr/>
      </w:pPr>
      <w:r>
        <w:rPr>
          <w:rFonts w:ascii="Times New Roman" w:cs="Times New Roman" w:eastAsia="Times New Roman" w:hAnsi="Times New Roman"/>
          <w:sz w:val="20"/>
          <w:szCs w:val="20"/>
          <w:rtl w:val="0"/>
        </w:rPr>
        <w:t>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rPr>
          <w:rtl w:val="0"/>
        </w:rPr>
      </w:r>
    </w:p>
    <w:p w:rsidR="00000000" w:rsidDel="00000000" w:rsidP="00000000" w:rsidRDefault="00000000" w:rsidRPr="00000000" w14:paraId="00000012">
      <w:pPr>
        <w:spacing w:after="240" w:before="360" w:lineRule="auto"/>
        <w:jc w:val="left"/>
        <w:rPr/>
      </w:pPr>
      <w:r>
        <w:rPr>
          <w:rFonts w:ascii="Times New Roman" w:cs="Times New Roman" w:eastAsia="Times New Roman" w:hAnsi="Times New Roman"/>
          <w:b w:val="1"/>
          <w:bCs w:val="1"/>
          <w:sz w:val="24"/>
          <w:szCs w:val="24"/>
          <w:rtl w:val="0"/>
        </w:rPr>
        <w:t xml:space="preserve">2 Theory and Hypotheses</w:t>
      </w:r>
      <w:r>
        <w:rPr>
          <w:rtl w:val="0"/>
        </w:rPr>
      </w:r>
    </w:p>
    <w:p w:rsidR="00000000" w:rsidDel="00000000" w:rsidP="00000000" w:rsidRDefault="00000000" w:rsidRPr="00000000" w14:paraId="00000013">
      <w:pPr>
        <w:spacing w:after="160" w:before="280" w:lineRule="auto"/>
        <w:jc w:val="left"/>
        <w:rPr/>
      </w:pPr>
      <w:r>
        <w:rPr>
          <w:rFonts w:ascii="Times New Roman" w:cs="Times New Roman" w:eastAsia="Times New Roman" w:hAnsi="Times New Roman"/>
          <w:b w:val="1"/>
          <w:bCs w:val="1"/>
          <w:sz w:val="22"/>
          <w:szCs w:val="22"/>
          <w:rtl w:val="0"/>
        </w:rPr>
        <w:t xml:space="preserve">2.1 The internationalization–performance relationship</w:t>
      </w:r>
      <w:r>
        <w:rPr>
          <w:rtl w:val="0"/>
        </w:rPr>
      </w:r>
    </w:p>
    <w:p w:rsidR="00000000" w:rsidDel="00000000" w:rsidP="00000000" w:rsidRDefault="00000000" w:rsidRPr="00000000" w14:paraId="00000014">
      <w:pPr>
        <w:spacing w:after="0" w:line="480" w:lineRule="auto"/>
        <w:ind w:firstLine="720"/>
        <w:jc w:val="both"/>
        <w:rPr/>
      </w:pPr>
      <w:r>
        <w:rPr>
          <w:rFonts w:ascii="Times New Roman" w:cs="Times New Roman" w:eastAsia="Times New Roman" w:hAnsi="Times New Roman"/>
          <w:sz w:val="20"/>
          <w:szCs w:val="20"/>
          <w:rtl w:val="0"/>
        </w:rP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rPr>
          <w:rtl w:val="0"/>
        </w:rPr>
      </w:r>
    </w:p>
    <w:p w:rsidR="00000000" w:rsidDel="00000000" w:rsidP="00000000" w:rsidRDefault="00000000" w:rsidRPr="00000000" w14:paraId="00000015">
      <w:pPr>
        <w:spacing w:after="0" w:line="480" w:lineRule="auto"/>
        <w:ind w:firstLine="720"/>
        <w:jc w:val="both"/>
        <w:rPr/>
      </w:pPr>
      <w:r>
        <w:rPr>
          <w:rFonts w:ascii="Times New Roman" w:cs="Times New Roman" w:eastAsia="Times New Roman" w:hAnsi="Times New Roman"/>
          <w:sz w:val="20"/>
          <w:szCs w:val="20"/>
          <w:rtl w:val="0"/>
        </w:rPr>
        <w:t xml:space="preserve">A boundary condition implicit in this literature, but rarely articulated, is that the inverted-U requires a coordination-cost mechanism that scales with internationalization intensity. If a firm operates in an institutional environment where coordination costs have already been substantially attenuated — for example, by mature cross-border digital infrastructure — the right-side decline of the inverted-U may be flattened or shifted to levels of internationalization that are sparsely represented in the observed FSTS distribution. Singapore is a natural setting in which to examine how these boundary conditions operate at the firm level.</w:t>
      </w:r>
      <w:r>
        <w:rPr>
          <w:rtl w:val="0"/>
        </w:rPr>
      </w:r>
    </w:p>
    <w:p w:rsidR="00000000" w:rsidDel="00000000" w:rsidP="00000000" w:rsidRDefault="00000000" w:rsidRPr="00000000" w14:paraId="00000016">
      <w:pPr>
        <w:spacing w:after="160" w:before="280" w:lineRule="auto"/>
        <w:jc w:val="left"/>
        <w:rPr/>
      </w:pPr>
      <w:r>
        <w:rPr>
          <w:rFonts w:ascii="Times New Roman" w:cs="Times New Roman" w:eastAsia="Times New Roman" w:hAnsi="Times New Roman"/>
          <w:b w:val="1"/>
          <w:bCs w:val="1"/>
          <w:sz w:val="22"/>
          <w:szCs w:val="22"/>
          <w:rtl w:val="0"/>
        </w:rPr>
        <w:t xml:space="preserve">2.2 Two distinct constructs: TCI and DAI</w:t>
      </w:r>
      <w:r>
        <w:rPr>
          <w:rtl w:val="0"/>
        </w:rPr>
      </w:r>
    </w:p>
    <w:p w:rsidR="00000000" w:rsidDel="00000000" w:rsidP="00000000" w:rsidRDefault="00000000" w:rsidRPr="00000000" w14:paraId="00000017">
      <w:pPr>
        <w:spacing w:after="0" w:line="480" w:lineRule="auto"/>
        <w:ind w:firstLine="720"/>
        <w:jc w:val="both"/>
        <w:rPr/>
      </w:pPr>
      <w:r>
        <w:rPr>
          <w:rFonts w:ascii="Times New Roman" w:cs="Times New Roman" w:eastAsia="Times New Roman" w:hAnsi="Times New Roman"/>
          <w:sz w:val="20"/>
          <w:szCs w:val="20"/>
          <w:rtl w:val="0"/>
        </w:rP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rPr>
          <w:rtl w:val="0"/>
        </w:rPr>
      </w:r>
    </w:p>
    <w:p w:rsidR="00000000" w:rsidDel="00000000" w:rsidP="00000000" w:rsidRDefault="00000000" w:rsidRPr="00000000" w14:paraId="00000018">
      <w:pPr>
        <w:spacing w:after="0" w:line="480" w:lineRule="auto"/>
        <w:ind w:firstLine="720"/>
        <w:jc w:val="both"/>
        <w:rPr/>
      </w:pPr>
      <w:r>
        <w:rPr>
          <w:rFonts w:ascii="Times New Roman" w:cs="Times New Roman" w:eastAsia="Times New Roman" w:hAnsi="Times New Roman"/>
          <w:sz w:val="20"/>
          <w:szCs w:val="20"/>
          <w:rtl w:val="0"/>
        </w:rP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rPr>
          <w:rtl w:val="0"/>
        </w:rPr>
      </w:r>
    </w:p>
    <w:p w:rsidR="00000000" w:rsidDel="00000000" w:rsidP="00000000" w:rsidRDefault="00000000" w:rsidRPr="00000000" w14:paraId="00000019">
      <w:pPr>
        <w:spacing w:after="0" w:line="480" w:lineRule="auto"/>
        <w:ind w:firstLine="720"/>
        <w:jc w:val="both"/>
        <w:rPr/>
      </w:pPr>
      <w:r>
        <w:rPr>
          <w:rFonts w:ascii="Times New Roman" w:cs="Times New Roman" w:eastAsia="Times New Roman" w:hAnsi="Times New Roman"/>
          <w:sz w:val="20"/>
          <w:szCs w:val="20"/>
          <w:rtl w:val="0"/>
        </w:rP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rPr>
          <w:rtl w:val="0"/>
        </w:rPr>
      </w:r>
      <w:r>
        <w:rPr>
          <w:rFonts w:ascii="Times New Roman" w:hAnsi="Times New Roman"/>
          <w:sz w:val="22"/>
        </w:rPr>
        <w:t xml:space="preserve"/>
      </w:r>
    </w:p>
    <w:p w:rsidR="00000000" w:rsidDel="00000000" w:rsidP="00000000" w:rsidRDefault="00000000" w:rsidRPr="00000000" w14:paraId="0000001A">
      <w:pPr>
        <w:spacing w:after="160" w:before="280" w:lineRule="auto"/>
        <w:jc w:val="left"/>
        <w:rPr/>
      </w:pPr>
      <w:r>
        <w:rPr>
          <w:rFonts w:ascii="Times New Roman" w:cs="Times New Roman" w:eastAsia="Times New Roman" w:hAnsi="Times New Roman"/>
          <w:b w:val="1"/>
          <w:bCs w:val="1"/>
          <w:sz w:val="22"/>
          <w:szCs w:val="22"/>
          <w:rtl w:val="0"/>
        </w:rPr>
        <w:t xml:space="preserve">2.3 Hypothesis development</w:t>
      </w:r>
      <w:r>
        <w:rPr>
          <w:rtl w:val="0"/>
        </w:rPr>
      </w:r>
    </w:p>
    <w:p w:rsidR="00000000" w:rsidDel="00000000" w:rsidP="00000000" w:rsidRDefault="00000000" w:rsidRPr="00000000" w14:paraId="0000001B">
      <w:pPr>
        <w:spacing w:after="120" w:before="240" w:lineRule="auto"/>
        <w:jc w:val="left"/>
        <w:rPr/>
      </w:pPr>
      <w:r>
        <w:rPr>
          <w:rFonts w:ascii="Times New Roman" w:cs="Times New Roman" w:eastAsia="Times New Roman" w:hAnsi="Times New Roman"/>
          <w:b w:val="1"/>
          <w:bCs w:val="1"/>
          <w:i w:val="1"/>
          <w:iCs w:val="1"/>
          <w:sz w:val="20"/>
          <w:szCs w:val="20"/>
          <w:rtl w:val="0"/>
        </w:rPr>
        <w:t xml:space="preserve">2.3.1 TCI direct effect on productivity</w:t>
      </w:r>
      <w:r>
        <w:rPr>
          <w:rtl w:val="0"/>
        </w:rPr>
      </w:r>
    </w:p>
    <w:p w:rsidR="00000000" w:rsidDel="00000000" w:rsidP="00000000" w:rsidRDefault="00000000" w:rsidRPr="00000000" w14:paraId="0000001C">
      <w:pPr>
        <w:spacing w:after="0" w:line="480" w:lineRule="auto"/>
        <w:ind w:firstLine="720"/>
        <w:jc w:val="both"/>
        <w:rPr/>
      </w:pPr>
      <w:r>
        <w:rPr>
          <w:rFonts w:ascii="Times New Roman" w:cs="Times New Roman" w:eastAsia="Times New Roman" w:hAnsi="Times New Roman"/>
          <w:sz w:val="20"/>
          <w:szCs w:val="20"/>
          <w:rtl w:val="0"/>
        </w:rP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raise the productivity floor by enhancing operational efficiency, product quality, and learning routines (Avenyo et al., 2021; Krammer et al., 2018). We therefore hypothesize:</w:t>
      </w:r>
      <w:r>
        <w:rPr>
          <w:rtl w:val="0"/>
        </w:rPr>
      </w:r>
    </w:p>
    <w:p w:rsidR="00000000" w:rsidDel="00000000" w:rsidP="00000000" w:rsidRDefault="00000000" w:rsidRPr="00000000" w14:paraId="0000001D">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 xml:space="preserve">Hypothesis 1 (H1). </w:t>
      </w:r>
      <w:r>
        <w:rPr>
          <w:rFonts w:ascii="Times New Roman" w:cs="Times New Roman" w:eastAsia="Times New Roman" w:hAnsi="Times New Roman"/>
          <w:i w:val="1"/>
          <w:iCs w:val="1"/>
          <w:sz w:val="20"/>
          <w:szCs w:val="20"/>
          <w:rtl w:val="0"/>
        </w:rPr>
        <w:t xml:space="preserve">Technological capability (TCI) is positively associated with firm performance in Singapore.</w:t>
      </w:r>
      <w:r>
        <w:rPr>
          <w:rtl w:val="0"/>
        </w:rPr>
      </w:r>
    </w:p>
    <w:p w:rsidR="00000000" w:rsidDel="00000000" w:rsidP="00000000" w:rsidRDefault="00000000" w:rsidRPr="00000000" w14:paraId="0000001E">
      <w:pPr>
        <w:spacing w:after="120" w:before="240" w:lineRule="auto"/>
        <w:jc w:val="left"/>
        <w:rPr/>
      </w:pPr>
      <w:r>
        <w:rPr>
          <w:rFonts w:ascii="Times New Roman" w:cs="Times New Roman" w:eastAsia="Times New Roman" w:hAnsi="Times New Roman"/>
          <w:b w:val="1"/>
          <w:bCs w:val="1"/>
          <w:i w:val="1"/>
          <w:iCs w:val="1"/>
          <w:sz w:val="20"/>
          <w:szCs w:val="20"/>
          <w:rtl w:val="0"/>
        </w:rPr>
        <w:t xml:space="preserve">2.3.2 TCI moderation of the I–P relationship</w:t>
      </w:r>
      <w:r>
        <w:rPr>
          <w:rtl w:val="0"/>
        </w:rPr>
      </w:r>
    </w:p>
    <w:p w:rsidR="00000000" w:rsidDel="00000000" w:rsidP="00000000" w:rsidRDefault="00000000" w:rsidRPr="00000000" w14:paraId="0000001F">
      <w:pPr>
        <w:spacing w:after="0" w:line="480" w:lineRule="auto"/>
        <w:ind w:firstLine="720"/>
        <w:jc w:val="both"/>
        <w:rPr/>
      </w:pPr>
      <w:r>
        <w:rPr>
          <w:rFonts w:ascii="Times New Roman" w:cs="Times New Roman" w:eastAsia="Times New Roman" w:hAnsi="Times New Roman"/>
          <w:sz w:val="20"/>
          <w:szCs w:val="20"/>
          <w:rtl w:val="0"/>
        </w:rPr>
        <w:t xml:space="preserve">A subtler prediction emerges from Rugman and Verbeke's (2004) non-location-bound firm-specific advantage (NLB-FSA) logic. Technological capabilities are firm-specific advantages that are recombinable across borders without significant adaptation cost. While TCI should raise the productivity intercept (H1), it should not interact with internationalization intensity to shift the I–P curvature, because the underlying capability depth is similarly available to the firm at all stages of export expansion.</w:t>
      </w:r>
      <w:r>
        <w:rPr>
          <w:rtl w:val="0"/>
        </w:rPr>
      </w:r>
    </w:p>
    <w:p w:rsidR="00000000" w:rsidDel="00000000" w:rsidP="00000000" w:rsidRDefault="00000000" w:rsidRPr="00000000" w14:paraId="00000020">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 xml:space="preserve">Hypothesis 2 (H2). </w:t>
      </w:r>
      <w:r>
        <w:rPr>
          <w:rFonts w:ascii="Times New Roman" w:cs="Times New Roman" w:eastAsia="Times New Roman" w:hAnsi="Times New Roman"/>
          <w:i w:val="1"/>
          <w:iCs w:val="1"/>
          <w:sz w:val="20"/>
          <w:szCs w:val="20"/>
          <w:rtl w:val="0"/>
        </w:rPr>
        <w:t xml:space="preserve">The TCI–productivity association in Singapore operates predominantly as a level-shift effect on the productivity intercept rather than as a curvature-shaping moderator of the internationalization–performance relationship.</w:t>
      </w:r>
      <w:r>
        <w:rPr>
          <w:rtl w:val="0"/>
        </w:rPr>
      </w:r>
    </w:p>
    <w:p w:rsidR="00000000" w:rsidDel="00000000" w:rsidP="00000000" w:rsidRDefault="00000000" w:rsidRPr="00000000" w14:paraId="00000021">
      <w:pPr>
        <w:spacing w:after="120" w:before="240" w:lineRule="auto"/>
        <w:jc w:val="left"/>
        <w:rPr/>
      </w:pPr>
      <w:r>
        <w:rPr>
          <w:rFonts w:ascii="Times New Roman" w:cs="Times New Roman" w:eastAsia="Times New Roman" w:hAnsi="Times New Roman"/>
          <w:b w:val="1"/>
          <w:bCs w:val="1"/>
          <w:i w:val="1"/>
          <w:iCs w:val="1"/>
          <w:sz w:val="20"/>
          <w:szCs w:val="20"/>
          <w:rtl w:val="0"/>
        </w:rPr>
        <w:t xml:space="preserve">2.3.3 DAI direct effect on productivity</w:t>
      </w:r>
      <w:r>
        <w:rPr>
          <w:rtl w:val="0"/>
        </w:rPr>
      </w:r>
    </w:p>
    <w:p w:rsidR="00000000" w:rsidDel="00000000" w:rsidP="00000000" w:rsidRDefault="00000000" w:rsidRPr="00000000" w14:paraId="00000022">
      <w:pPr>
        <w:spacing w:after="0" w:line="480" w:lineRule="auto"/>
        <w:ind w:firstLine="720"/>
        <w:jc w:val="both"/>
        <w:rPr/>
      </w:pPr>
      <w:r>
        <w:rPr>
          <w:rFonts w:ascii="Times New Roman" w:cs="Times New Roman" w:eastAsia="Times New Roman" w:hAnsi="Times New Roman"/>
          <w:sz w:val="20"/>
          <w:szCs w:val="20"/>
          <w:rtl w:val="0"/>
        </w:rPr>
        <w:t xml:space="preserve">Digital adoption should generate productivity returns through reduced transaction costs, faster information flow, and broader market reach (Bharadwaj et al., 2013; Verhoef et al., 2021). The magnitude of these returns, however, is unlikely to be uniform across firms. Tier 1–2 digital adoption (digital presence and electronic-transaction capability) primarily enables firms to scale existing operations through digital channels rather than to create capability depth de novo (Verhoef et al., 2021). The productivity payoff of such adoption should therefore depend on the extent to which the firm operates at scales where these scale-enabling features can be exercised intensively. At the digital frontier, where cross-border digital infrastructure is mature, the average DAI–productivity association is expected to be positive but modest at the unconditional mean, with most of the productivity premium materializing in firms whose operating scale — in particular, their cross-border activity — provides sufficient throughput for digital channels to be exploited efficiently. We therefore frame H3 as a directional but conditional claim, reserving the explicit moderation prediction for H4.</w:t>
      </w:r>
      <w:r>
        <w:rPr>
          <w:rtl w:val="0"/>
        </w:rPr>
      </w:r>
    </w:p>
    <w:p w:rsidR="00000000" w:rsidDel="00000000" w:rsidP="00000000" w:rsidRDefault="00000000" w:rsidRPr="00000000" w14:paraId="00000023">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 xml:space="preserve">Hypothesis 3 (H3). </w:t>
      </w:r>
      <w:r>
        <w:rPr>
          <w:rFonts w:ascii="Times New Roman" w:cs="Times New Roman" w:eastAsia="Times New Roman" w:hAnsi="Times New Roman"/>
          <w:i w:val="1"/>
          <w:iCs w:val="1"/>
          <w:sz w:val="20"/>
          <w:szCs w:val="20"/>
          <w:rtl w:val="0"/>
        </w:rPr>
        <w:t xml:space="preserve">Digital adoption (DAI) is positively associated with firm performance in Singapore on average, with the magnitude of this association expected to vary systematically with the firm’s internationalization intensity (formally tested in H4).</w:t>
      </w:r>
      <w:r>
        <w:rPr>
          <w:rtl w:val="0"/>
        </w:rPr>
      </w:r>
    </w:p>
    <w:p w:rsidR="00000000" w:rsidDel="00000000" w:rsidP="00000000" w:rsidRDefault="00000000" w:rsidRPr="00000000" w14:paraId="00000024">
      <w:pPr>
        <w:spacing w:after="120" w:before="240" w:lineRule="auto"/>
        <w:jc w:val="left"/>
        <w:rPr/>
      </w:pPr>
      <w:r>
        <w:rPr>
          <w:rFonts w:ascii="Times New Roman" w:cs="Times New Roman" w:eastAsia="Times New Roman" w:hAnsi="Times New Roman"/>
          <w:b w:val="1"/>
          <w:bCs w:val="1"/>
          <w:i w:val="1"/>
          <w:iCs w:val="1"/>
          <w:sz w:val="20"/>
          <w:szCs w:val="20"/>
          <w:rtl w:val="0"/>
        </w:rPr>
        <w:t xml:space="preserve">2.3.4 DAI as a conditional complement to export intensity</w:t>
      </w:r>
      <w:r>
        <w:rPr>
          <w:rtl w:val="0"/>
        </w:rPr>
      </w:r>
    </w:p>
    <w:p w:rsidR="00000000" w:rsidDel="00000000" w:rsidP="00000000" w:rsidRDefault="00000000" w:rsidRPr="00000000" w14:paraId="00000025">
      <w:pPr>
        <w:spacing w:after="0" w:line="480" w:lineRule="auto"/>
        <w:ind w:firstLine="720"/>
        <w:jc w:val="both"/>
        <w:rPr/>
      </w:pPr>
      <w:r>
        <w:rPr>
          <w:rFonts w:ascii="Times New Roman" w:cs="Times New Roman" w:eastAsia="Times New Roman" w:hAnsi="Times New Roman"/>
          <w:sz w:val="20"/>
          <w:szCs w:val="20"/>
          <w:rtl w:val="0"/>
        </w:rPr>
        <w:t xml:space="preserve">The most theoretically novel prediction concerns how digital adoption interacts with export intensity in a digitally mature institutional environment. In such settings, digital infrastructure may no longer generate a uniform productivity premium across all firms because basic digital functionality is already widely available. Its value may instead become more contingent on the scale and complexity of cross-border operations. Firms with high export intensity face greater coordination, transaction, and information-processing demands across markets, making digital adoption more valuable as a scale-enabling complement (Brynjolfsson et al., 2021). By contrast, firms with low export intensity may realize weaker productivity benefits because they have fewer opportunities to amortize digital investments across international operations. The relationship is expected to be nonlinear, with digital adoption's productivity returns concentrated at the upper end of internationalization rather than uniformly distributed across export intensity. The marginal productivity of digital adoption is thus contingent on the extent to which cross-border complexity makes digital systems economically consequential. We therefore hypothesize:</w:t>
      </w:r>
      <w:r>
        <w:rPr>
          <w:rtl w:val="0"/>
        </w:rPr>
      </w:r>
    </w:p>
    <w:p w:rsidR="00000000" w:rsidDel="00000000" w:rsidP="00000000" w:rsidRDefault="00000000" w:rsidRPr="00000000" w14:paraId="00000026">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 xml:space="preserve">Hypothesis 4 (H4). </w:t>
      </w:r>
      <w:r>
        <w:rPr>
          <w:rFonts w:ascii="Times New Roman" w:cs="Times New Roman" w:eastAsia="Times New Roman" w:hAnsi="Times New Roman"/>
          <w:i w:val="1"/>
          <w:iCs w:val="1"/>
          <w:sz w:val="20"/>
          <w:szCs w:val="20"/>
          <w:rtl w:val="0"/>
        </w:rPr>
        <w:t xml:space="preserve">The association between digital adoption (DAI) and firm performance becomes more positive at higher levels of export intensity in Singapore.</w:t>
      </w:r>
      <w:r>
        <w:rPr>
          <w:rtl w:val="0"/>
        </w:rPr>
      </w:r>
    </w:p>
    <w:p w:rsidR="00000000" w:rsidDel="00000000" w:rsidP="00000000" w:rsidRDefault="00000000" w:rsidRPr="00000000" w14:paraId="00000027">
      <w:pPr>
        <w:spacing w:after="160" w:before="280" w:lineRule="auto"/>
        <w:jc w:val="left"/>
        <w:rPr/>
      </w:pPr>
      <w:r>
        <w:rPr>
          <w:rFonts w:ascii="Times New Roman" w:cs="Times New Roman" w:eastAsia="Times New Roman" w:hAnsi="Times New Roman"/>
          <w:b w:val="1"/>
          <w:bCs w:val="1"/>
          <w:sz w:val="22"/>
          <w:szCs w:val="22"/>
          <w:rtl w:val="0"/>
        </w:rPr>
        <w:t xml:space="preserve">2.4 Conceptual model</w:t>
      </w:r>
      <w:r>
        <w:rPr>
          <w:rtl w:val="0"/>
        </w:rPr>
      </w:r>
    </w:p>
    <w:p w:rsidR="00000000" w:rsidDel="00000000" w:rsidP="00000000" w:rsidRDefault="00000000" w:rsidRPr="00000000" w14:paraId="00000028">
      <w:pPr>
        <w:spacing w:after="0" w:line="480" w:lineRule="auto"/>
        <w:ind w:firstLine="720"/>
        <w:jc w:val="both"/>
        <w:rPr/>
      </w:pPr>
      <w:r>
        <w:rPr>
          <w:rFonts w:ascii="Times New Roman" w:cs="Times New Roman" w:eastAsia="Times New Roman" w:hAnsi="Times New Roman"/>
          <w:sz w:val="20"/>
          <w:szCs w:val="20"/>
          <w:rtl w:val="0"/>
        </w:rPr>
        <w:t xml:space="preserve">Figure 1 summarizes the conceptual model. The model represents TCI and DAI as analytically distinct firm-level constructs, each with a directional association with firm performance (H1 and H3). TCI is theorized to operate as a level-shift effect on the productivity intercept rather than as a curvature-shaping moderator (H2), whereas DAI is theorized to interact with export intensity such that its productivity association strengthens at higher levels of FSTS (H4). H3 and H4 are jointly informative: H3 specifies the average directional association, and H4 specifies the contingency that governs its magnitude. The whole model is positioned within a digital-frontier institutional environment as the relevant boundary condition.</w:t>
      </w:r>
      <w:r>
        <w:rPr>
          <w:rtl w:val="0"/>
        </w:rPr>
      </w:r>
    </w:p>
    <w:p w:rsidR="00000000" w:rsidDel="00000000" w:rsidP="00000000" w:rsidRDefault="00000000" w:rsidRPr="00000000" w14:paraId="00000029">
      <w:pPr>
        <w:spacing w:after="120" w:before="240" w:lineRule="auto"/>
        <w:jc w:val="center"/>
        <w:rPr/>
      </w:pPr>
      <w:r>
        <w:rPr/>
        <w:drawing>
          <wp:inline distB="0" distT="0" distL="0" distR="0">
            <wp:extent cx="5143500" cy="3429000"/>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143500" cy="3429000"/>
                    </a:xfrm>
                    <a:prstGeom prst="rect"/>
                    <a:ln/>
                  </pic:spPr>
                </pic:pic>
              </a:graphicData>
            </a:graphic>
          </wp:inline>
        </w:drawing>
      </w:r>
      <w:r>
        <w:rPr>
          <w:rtl w:val="0"/>
        </w:rPr>
      </w:r>
    </w:p>
    <w:p w:rsidR="00000000" w:rsidDel="00000000" w:rsidP="00000000" w:rsidRDefault="00000000" w:rsidRPr="00000000" w14:paraId="0000002A">
      <w:pPr>
        <w:spacing w:after="240" w:line="280" w:lineRule="auto"/>
        <w:jc w:val="center"/>
        <w:rPr/>
      </w:pPr>
      <w:r>
        <w:rPr>
          <w:rFonts w:ascii="Cardo" w:cs="Cardo" w:eastAsia="Cardo" w:hAnsi="Cardo"/>
          <w:i w:val="1"/>
          <w:iCs w:val="1"/>
          <w:sz w:val="18"/>
          <w:szCs w:val="18"/>
          <w:rtl w:val="0"/>
        </w:rPr>
        <w:t>Figure 1. Conceptual model. Technological capability, digital adoption, and the internationalization–performance relationship in a digital-frontier institutional environment. Solid arrows denote direct effects (H1, H3), whereas dashed arrows denote moderation effects (H2, H4). The moderation arrows should be interpreted as acting on the internationalization–performance path rather than as direct antecedents of FSTS.</w:t>
      </w:r>
      <w:r>
        <w:rPr>
          <w:rtl w:val="0"/>
        </w:rPr>
      </w:r>
    </w:p>
    <w:p w:rsidR="00000000" w:rsidDel="00000000" w:rsidP="00000000" w:rsidRDefault="00000000" w:rsidRPr="00000000" w14:paraId="0000002B">
      <w:pPr>
        <w:spacing w:after="240" w:before="360" w:lineRule="auto"/>
        <w:jc w:val="left"/>
        <w:rPr/>
      </w:pPr>
      <w:r>
        <w:rPr>
          <w:rFonts w:ascii="Times New Roman" w:cs="Times New Roman" w:eastAsia="Times New Roman" w:hAnsi="Times New Roman"/>
          <w:b w:val="1"/>
          <w:bCs w:val="1"/>
          <w:sz w:val="24"/>
          <w:szCs w:val="24"/>
          <w:rtl w:val="0"/>
        </w:rPr>
        <w:t xml:space="preserve">3 Methods</w:t>
      </w:r>
      <w:r>
        <w:rPr>
          <w:rtl w:val="0"/>
        </w:rPr>
      </w:r>
    </w:p>
    <w:p w:rsidR="00000000" w:rsidDel="00000000" w:rsidP="00000000" w:rsidRDefault="00000000" w:rsidRPr="00000000" w14:paraId="0000002C">
      <w:pPr>
        <w:spacing w:after="160" w:before="280" w:lineRule="auto"/>
        <w:jc w:val="left"/>
        <w:rPr/>
      </w:pPr>
      <w:r>
        <w:rPr>
          <w:rFonts w:ascii="Times New Roman" w:cs="Times New Roman" w:eastAsia="Times New Roman" w:hAnsi="Times New Roman"/>
          <w:b w:val="1"/>
          <w:bCs w:val="1"/>
          <w:sz w:val="22"/>
          <w:szCs w:val="22"/>
          <w:rtl w:val="0"/>
        </w:rPr>
        <w:t xml:space="preserve">3.1 Data</w:t>
      </w:r>
      <w:r>
        <w:rPr>
          <w:rtl w:val="0"/>
        </w:rPr>
      </w:r>
    </w:p>
    <w:p w:rsidR="00000000" w:rsidDel="00000000" w:rsidP="00000000" w:rsidRDefault="00000000" w:rsidRPr="00000000" w14:paraId="0000002D">
      <w:pPr>
        <w:spacing w:after="0" w:line="480" w:lineRule="auto"/>
        <w:ind w:firstLine="720"/>
        <w:jc w:val="both"/>
        <w:rPr/>
      </w:pPr>
      <w:r>
        <w:rPr>
          <w:rFonts w:ascii="Times New Roman" w:cs="Times New Roman" w:eastAsia="Times New Roman" w:hAnsi="Times New Roman"/>
          <w:sz w:val="20"/>
          <w:szCs w:val="20"/>
          <w:rtl w:val="0"/>
        </w:rPr>
        <w:t>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Descriptive statistics and pairwise correlations are reported in Table 1.</w:t>
      </w:r>
      <w:r>
        <w:rPr>
          <w:rtl w:val="0"/>
        </w:rPr>
      </w:r>
    </w:p>
    <w:p w:rsidR="00000000" w:rsidDel="00000000" w:rsidP="00000000" w:rsidRDefault="00000000" w:rsidRPr="00000000" w14:paraId="0000002E">
      <w:pPr>
        <w:spacing w:after="160" w:before="280" w:lineRule="auto"/>
        <w:jc w:val="left"/>
        <w:rPr/>
      </w:pPr>
      <w:r>
        <w:rPr>
          <w:rFonts w:ascii="Times New Roman" w:cs="Times New Roman" w:eastAsia="Times New Roman" w:hAnsi="Times New Roman"/>
          <w:b w:val="1"/>
          <w:bCs w:val="1"/>
          <w:sz w:val="22"/>
          <w:szCs w:val="22"/>
          <w:rtl w:val="0"/>
        </w:rPr>
        <w:t xml:space="preserve">3.2 Variables</w:t>
      </w:r>
      <w:r>
        <w:rPr>
          <w:rtl w:val="0"/>
        </w:rPr>
      </w:r>
    </w:p>
    <w:p w:rsidR="00000000" w:rsidDel="00000000" w:rsidP="00000000" w:rsidRDefault="00000000" w:rsidRPr="00000000" w14:paraId="0000002F">
      <w:pPr>
        <w:spacing w:after="120" w:before="240" w:lineRule="auto"/>
        <w:jc w:val="left"/>
        <w:rPr/>
      </w:pPr>
      <w:r>
        <w:rPr>
          <w:rFonts w:ascii="Times New Roman" w:cs="Times New Roman" w:eastAsia="Times New Roman" w:hAnsi="Times New Roman"/>
          <w:b w:val="1"/>
          <w:bCs w:val="1"/>
          <w:i w:val="1"/>
          <w:iCs w:val="1"/>
          <w:sz w:val="20"/>
          <w:szCs w:val="20"/>
          <w:rtl w:val="0"/>
        </w:rPr>
        <w:t xml:space="preserve">3.2.1 Dependent variable</w:t>
      </w:r>
      <w:r>
        <w:rPr>
          <w:rtl w:val="0"/>
        </w:rPr>
      </w:r>
    </w:p>
    <w:p w:rsidR="00000000" w:rsidDel="00000000" w:rsidP="00000000" w:rsidRDefault="00000000" w:rsidRPr="00000000" w14:paraId="00000030">
      <w:pPr>
        <w:spacing w:after="0" w:line="480" w:lineRule="auto"/>
        <w:ind w:firstLine="720"/>
        <w:jc w:val="both"/>
        <w:rPr/>
      </w:pPr>
      <w:r>
        <w:rPr>
          <w:rFonts w:ascii="Times New Roman" w:cs="Times New Roman" w:eastAsia="Times New Roman" w:hAnsi="Times New Roman"/>
          <w:sz w:val="20"/>
          <w:szCs w:val="20"/>
          <w:rtl w:val="0"/>
        </w:rPr>
        <w:t>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r>
        <w:rPr>
          <w:rtl w:val="0"/>
        </w:rPr>
      </w:r>
    </w:p>
    <w:p w:rsidR="00000000" w:rsidDel="00000000" w:rsidP="00000000" w:rsidRDefault="00000000" w:rsidRPr="00000000" w14:paraId="00000031">
      <w:pPr>
        <w:spacing w:after="120" w:before="240" w:lineRule="auto"/>
        <w:jc w:val="left"/>
        <w:rPr/>
      </w:pPr>
      <w:r>
        <w:rPr>
          <w:rFonts w:ascii="Times New Roman" w:cs="Times New Roman" w:eastAsia="Times New Roman" w:hAnsi="Times New Roman"/>
          <w:b w:val="1"/>
          <w:bCs w:val="1"/>
          <w:i w:val="1"/>
          <w:iCs w:val="1"/>
          <w:sz w:val="20"/>
          <w:szCs w:val="20"/>
          <w:rtl w:val="0"/>
        </w:rPr>
        <w:t xml:space="preserve">3.2.2 Focal independent variable</w:t>
      </w:r>
      <w:r>
        <w:rPr>
          <w:rtl w:val="0"/>
        </w:rPr>
      </w:r>
    </w:p>
    <w:p w:rsidR="00000000" w:rsidDel="00000000" w:rsidP="00000000" w:rsidRDefault="00000000" w:rsidRPr="00000000" w14:paraId="00000032">
      <w:pPr>
        <w:spacing w:after="0" w:line="480" w:lineRule="auto"/>
        <w:ind w:firstLine="720"/>
        <w:jc w:val="both"/>
        <w:rPr/>
      </w:pPr>
      <w:r>
        <w:rPr>
          <w:rFonts w:ascii="Times New Roman" w:cs="Times New Roman" w:eastAsia="Times New Roman" w:hAnsi="Times New Roman"/>
          <w:sz w:val="20"/>
          <w:szCs w:val="20"/>
          <w:rtl w:val="0"/>
        </w:rPr>
        <w:t>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r>
        <w:rPr>
          <w:rtl w:val="0"/>
        </w:rPr>
      </w:r>
    </w:p>
    <w:p w:rsidR="00000000" w:rsidDel="00000000" w:rsidP="00000000" w:rsidRDefault="00000000" w:rsidRPr="00000000" w14:paraId="00000033">
      <w:pPr>
        <w:spacing w:after="120" w:before="240" w:lineRule="auto"/>
        <w:jc w:val="left"/>
        <w:rPr/>
      </w:pPr>
      <w:r>
        <w:rPr>
          <w:rFonts w:ascii="Times New Roman" w:cs="Times New Roman" w:eastAsia="Times New Roman" w:hAnsi="Times New Roman"/>
          <w:b w:val="1"/>
          <w:bCs w:val="1"/>
          <w:i w:val="1"/>
          <w:iCs w:val="1"/>
          <w:sz w:val="20"/>
          <w:szCs w:val="20"/>
          <w:rtl w:val="0"/>
        </w:rPr>
        <w:t xml:space="preserve">3.2.3 TCI and DAI composites</w:t>
      </w:r>
      <w:r>
        <w:rPr>
          <w:rtl w:val="0"/>
        </w:rPr>
      </w:r>
    </w:p>
    <w:p w:rsidR="00000000" w:rsidDel="00000000" w:rsidP="00000000" w:rsidRDefault="00000000" w:rsidRPr="00000000" w14:paraId="00000034">
      <w:pPr>
        <w:spacing w:after="0" w:line="480" w:lineRule="auto"/>
        <w:ind w:firstLine="720"/>
        <w:jc w:val="both"/>
        <w:rPr/>
      </w:pPr>
      <w:r>
        <w:rPr>
          <w:rFonts w:ascii="Times New Roman" w:cs="Times New Roman" w:eastAsia="Times New Roman" w:hAnsi="Times New Roman"/>
          <w:sz w:val="20"/>
          <w:szCs w:val="20"/>
          <w:rtl w:val="0"/>
        </w:rPr>
        <w:t>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r>
        <w:rPr>
          <w:rtl w:val="0"/>
        </w:rPr>
      </w:r>
      <w:r>
        <w:rPr>
          <w:rFonts w:ascii="Times New Roman" w:hAnsi="Times New Roman"/>
          <w:sz w:val="22"/>
        </w:rPr>
      </w:r>
    </w:p>
    <w:p w:rsidR="00000000" w:rsidDel="00000000" w:rsidP="00000000" w:rsidRDefault="00000000" w:rsidRPr="00000000" w14:paraId="00000036">
      <w:pPr>
        <w:spacing w:after="120" w:before="240" w:lineRule="auto"/>
        <w:jc w:val="left"/>
        <w:rPr/>
      </w:pPr>
      <w:r>
        <w:rPr>
          <w:rFonts w:ascii="Times New Roman" w:cs="Times New Roman" w:eastAsia="Times New Roman" w:hAnsi="Times New Roman"/>
          <w:b w:val="1"/>
          <w:bCs w:val="1"/>
          <w:i w:val="1"/>
          <w:iCs w:val="1"/>
          <w:sz w:val="20"/>
          <w:szCs w:val="20"/>
          <w:rtl w:val="0"/>
        </w:rPr>
        <w:t xml:space="preserve">3.2.4 Controls</w:t>
      </w:r>
      <w:r>
        <w:rPr>
          <w:rtl w:val="0"/>
        </w:rPr>
      </w:r>
    </w:p>
    <w:p w:rsidR="00000000" w:rsidDel="00000000" w:rsidP="00000000" w:rsidRDefault="00000000" w:rsidRPr="00000000" w14:paraId="00000037">
      <w:pPr>
        <w:spacing w:after="0" w:line="480" w:lineRule="auto"/>
        <w:ind w:firstLine="720"/>
        <w:jc w:val="both"/>
        <w:rPr/>
      </w:pPr>
      <w:r>
        <w:rPr>
          <w:rFonts w:ascii="Gungsuh" w:cs="Gungsuh" w:eastAsia="Gungsuh" w:hAnsi="Gungsuh"/>
          <w:sz w:val="20"/>
          <w:szCs w:val="20"/>
          <w:rtl w:val="0"/>
        </w:rPr>
        <w:t>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rPr>
          <w:rtl w:val="0"/>
        </w:rPr>
      </w:r>
    </w:p>
    <w:p w:rsidR="00000000" w:rsidDel="00000000" w:rsidP="00000000" w:rsidRDefault="00000000" w:rsidRPr="00000000" w14:paraId="00000038">
      <w:pPr>
        <w:spacing w:after="160" w:before="280" w:lineRule="auto"/>
        <w:jc w:val="left"/>
        <w:rPr/>
      </w:pPr>
      <w:r>
        <w:rPr>
          <w:rFonts w:ascii="Times New Roman" w:cs="Times New Roman" w:eastAsia="Times New Roman" w:hAnsi="Times New Roman"/>
          <w:b w:val="1"/>
          <w:bCs w:val="1"/>
          <w:sz w:val="22"/>
          <w:szCs w:val="22"/>
          <w:rtl w:val="0"/>
        </w:rPr>
        <w:t xml:space="preserve">3.3 Estimation strategy and identification scope</w:t>
      </w:r>
      <w:r>
        <w:rPr>
          <w:rtl w:val="0"/>
        </w:rPr>
      </w:r>
    </w:p>
    <w:p w:rsidR="00000000" w:rsidDel="00000000" w:rsidP="00000000" w:rsidRDefault="00000000" w:rsidRPr="00000000" w14:paraId="00000039">
      <w:pPr>
        <w:spacing w:after="0" w:line="480" w:lineRule="auto"/>
        <w:ind w:firstLine="720"/>
        <w:jc w:val="both"/>
        <w:rPr/>
      </w:pPr>
      <w:r>
        <w:rPr>
          <w:rFonts w:ascii="Times New Roman" w:cs="Times New Roman" w:eastAsia="Times New Roman" w:hAnsi="Times New Roman"/>
          <w:sz w:val="20"/>
          <w:szCs w:val="20"/>
          <w:rtl w:val="0"/>
        </w:rPr>
        <w:t>The empirical analysis uses ordinary least squares with broad sector fixed effects and HC1 heteroskedasticity-robust standard errors throughout (MacKinnon &amp; White, 1985). Models are estimated sequentially, beginning with a controls-only specification and then moving to a linear internationalization model, a quadratic baseline, direct-effect models for TCI and DAI, and full specifications that incorporate moderation terms. The baseline quadratic specification evaluates whether the internationalization–performance relationship follows the conventional inverted-U logic, while the later specifications test whether TCI and DAI play distinct direct and contingent roles.</w:t>
      </w:r>
      <w:r>
        <w:rPr>
          <w:rtl w:val="0"/>
        </w:rPr>
      </w:r>
    </w:p>
    <w:p w:rsidR="00000000" w:rsidDel="00000000" w:rsidP="00000000" w:rsidRDefault="00000000" w:rsidRPr="00000000" w14:paraId="0000003A">
      <w:pPr>
        <w:spacing w:after="120" w:line="480" w:lineRule="auto"/>
        <w:jc w:val="left"/>
        <w:rPr/>
      </w:pPr>
      <w:r>
        <w:rPr>
          <w:rFonts w:ascii="Times New Roman" w:cs="Times New Roman" w:eastAsia="Times New Roman" w:hAnsi="Times New Roman"/>
          <w:i w:val="1"/>
          <w:iCs w:val="1"/>
          <w:sz w:val="20"/>
          <w:szCs w:val="20"/>
          <w:rtl w:val="0"/>
        </w:rPr>
        <w:t xml:space="preserve">ln(LP) = α + β₁·FSTS_c + β₂·FSTS_c² + β₃·TCI + β₄·DAI + β₅·(FSTS_c × DAI) + β₆·(FSTS_c² × DAI) + γ·controls + ε,</w:t>
      </w:r>
      <w:r>
        <w:rPr>
          <w:rtl w:val="0"/>
        </w:rPr>
      </w:r>
    </w:p>
    <w:p w:rsidR="00000000" w:rsidDel="00000000" w:rsidP="00000000" w:rsidRDefault="00000000" w:rsidRPr="00000000" w14:paraId="0000003B">
      <w:pPr>
        <w:spacing w:after="0" w:line="480" w:lineRule="auto"/>
        <w:ind w:firstLine="720"/>
        <w:jc w:val="both"/>
        <w:rPr/>
      </w:pPr>
      <w:r>
        <w:rPr>
          <w:rFonts w:ascii="Times New Roman" w:cs="Times New Roman" w:eastAsia="Times New Roman" w:hAnsi="Times New Roman"/>
          <w:sz w:val="20"/>
          <w:szCs w:val="20"/>
          <w:rtl w:val="0"/>
        </w:rPr>
        <w:t>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technological capability operates primarily as a moderator or as an intercept-shifting capability variable.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r>
        <w:rPr>
          <w:rtl w:val="0"/>
        </w:rPr>
      </w:r>
    </w:p>
    <w:p w:rsidR="00000000" w:rsidDel="00000000" w:rsidP="00000000" w:rsidRDefault="00000000" w:rsidRPr="00000000" w14:paraId="0000003C">
      <w:pPr>
        <w:spacing w:after="0" w:line="480" w:lineRule="auto"/>
        <w:ind w:firstLine="720"/>
        <w:jc w:val="both"/>
        <w:rPr/>
      </w:pPr>
      <w:r>
        <w:rPr>
          <w:rFonts w:ascii="Times New Roman" w:cs="Times New Roman" w:eastAsia="Times New Roman" w:hAnsi="Times New Roman"/>
          <w:sz w:val="20"/>
          <w:szCs w:val="20"/>
          <w:rtl w:val="0"/>
        </w:rPr>
        <w:t>The identification scope of the study is explicitly associational rather than causal, in line with the disciplined causal-language conventions advocated for international business and strategy research (Antonakis et al., 2010; Meyer et al., 2017; Shaver, 2020). Because the design is cross-sectional, the analysis cannot rule out reverse causation or omitted-variable bias in the observed relationships among productivity, export intensity, technological capability, and digital adoption. For that reason, the manuscript should consistently use language such as “is associated with,” “is consistent with,” and “supports” rather than causal wording.</w:t>
      </w:r>
      <w:r>
        <w:rPr>
          <w:rtl w:val="0"/>
        </w:rPr>
      </w:r>
    </w:p>
    <w:p w:rsidR="00000000" w:rsidDel="00000000" w:rsidP="00000000" w:rsidRDefault="00000000" w:rsidRPr="00000000" w14:paraId="0000003D">
      <w:pPr>
        <w:spacing w:after="240" w:before="360" w:lineRule="auto"/>
        <w:jc w:val="left"/>
        <w:rPr/>
      </w:pPr>
      <w:r>
        <w:rPr>
          <w:rFonts w:ascii="Times New Roman" w:cs="Times New Roman" w:eastAsia="Times New Roman" w:hAnsi="Times New Roman"/>
          <w:b w:val="1"/>
          <w:bCs w:val="1"/>
          <w:sz w:val="24"/>
          <w:szCs w:val="24"/>
          <w:rtl w:val="0"/>
        </w:rPr>
        <w:t xml:space="preserve">4 Results</w:t>
      </w:r>
      <w:r>
        <w:rPr>
          <w:rtl w:val="0"/>
        </w:rPr>
      </w:r>
    </w:p>
    <w:p w:rsidR="00000000" w:rsidDel="00000000" w:rsidP="00000000" w:rsidRDefault="00000000" w:rsidRPr="00000000" w14:paraId="0000003E">
      <w:pPr>
        <w:spacing w:after="160" w:before="280" w:lineRule="auto"/>
        <w:jc w:val="left"/>
        <w:rPr/>
      </w:pPr>
      <w:r>
        <w:rPr>
          <w:rFonts w:ascii="Times New Roman" w:cs="Times New Roman" w:eastAsia="Times New Roman" w:hAnsi="Times New Roman"/>
          <w:b w:val="1"/>
          <w:bCs w:val="1"/>
          <w:sz w:val="22"/>
          <w:szCs w:val="22"/>
          <w:rtl w:val="0"/>
        </w:rPr>
        <w:t xml:space="preserve">4.1 Descriptive statistics</w:t>
      </w:r>
      <w:r>
        <w:rPr>
          <w:rtl w:val="0"/>
        </w:rPr>
      </w:r>
    </w:p>
    <w:p w:rsidR="00000000" w:rsidDel="00000000" w:rsidP="00000000" w:rsidRDefault="00000000" w:rsidRPr="00000000" w14:paraId="0000003F">
      <w:pPr>
        <w:spacing w:after="0" w:line="480" w:lineRule="auto"/>
        <w:ind w:firstLine="720"/>
        <w:jc w:val="both"/>
        <w:rPr/>
      </w:pPr>
      <w:r>
        <w:rPr>
          <w:rFonts w:ascii="Times New Roman" w:cs="Times New Roman" w:eastAsia="Times New Roman" w:hAnsi="Times New Roman"/>
          <w:sz w:val="20"/>
          <w:szCs w:val="20"/>
          <w:rtl w:val="0"/>
        </w:rPr>
        <w:t>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rPr>
          <w:rtl w:val="0"/>
        </w:rPr>
      </w:r>
    </w:p>
    <w:p w:rsidR="00000000" w:rsidDel="00000000" w:rsidP="00000000" w:rsidRDefault="00000000" w:rsidRPr="00000000" w14:paraId="00000040">
      <w:pPr>
        <w:spacing w:after="120" w:line="480" w:lineRule="auto"/>
        <w:jc w:val="left"/>
        <w:rPr/>
      </w:pPr>
      <w:r>
        <w:rPr>
          <w:rFonts w:ascii="Times New Roman" w:cs="Times New Roman" w:eastAsia="Times New Roman" w:hAnsi="Times New Roman"/>
          <w:b w:val="1"/>
          <w:bCs w:val="1"/>
          <w:sz w:val="20"/>
          <w:szCs w:val="20"/>
          <w:rtl w:val="0"/>
        </w:rPr>
        <w:t xml:space="preserve">Table 1. Descriptive statistics and pairwise correlations.</w:t>
      </w:r>
      <w:r>
        <w:rPr>
          <w:rtl w:val="0"/>
        </w:rPr>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100"/>
        <w:gridCol w:w="1100"/>
        <w:gridCol w:w="850"/>
        <w:gridCol w:w="850"/>
        <w:gridCol w:w="950"/>
        <w:gridCol w:w="950"/>
        <w:gridCol w:w="1000"/>
        <w:tblGridChange w:id="0">
          <w:tblGrid>
            <w:gridCol w:w="2200"/>
            <w:gridCol w:w="1100"/>
            <w:gridCol w:w="1100"/>
            <w:gridCol w:w="850"/>
            <w:gridCol w:w="850"/>
            <w:gridCol w:w="950"/>
            <w:gridCol w:w="950"/>
            <w:gridCol w:w="1000"/>
          </w:tblGrid>
        </w:tblGridChange>
      </w:tblGrid>
      <w:tr>
        <w:trPr>
          <w:cantSplit w:val="1"/>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1">
            <w:pPr>
              <w:spacing w:line="240" w:lineRule="auto"/>
              <w:jc w:val="left"/>
              <w:rPr/>
            </w:pPr>
            <w:r>
              <w:rPr>
                <w:rFonts w:ascii="Times New Roman" w:cs="Times New Roman" w:eastAsia="Times New Roman" w:hAnsi="Times New Roman"/>
                <w:b w:val="1"/>
                <w:bCs w:val="1"/>
                <w:sz w:val="16"/>
                <w:szCs w:val="16"/>
                <w:rtl w:val="0"/>
              </w:rPr>
              <w:t xml:space="preserve">Panel A: Descriptive Statistics (N = 623)</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2">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3">
            <w:pPr>
              <w:spacing w:line="240" w:lineRule="auto"/>
              <w:jc w:val="center"/>
              <w:rPr/>
            </w:pPr>
            <w:r>
              <w:rPr>
                <w:rFonts w:ascii="Times New Roman" w:cs="Times New Roman" w:eastAsia="Times New Roman" w:hAnsi="Times New Roman"/>
                <w:b w:val="1"/>
                <w:bCs w:val="1"/>
                <w:sz w:val="16"/>
                <w:szCs w:val="16"/>
                <w:rtl w:val="0"/>
              </w:rPr>
              <w:t xml:space="preserve">Mean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4">
            <w:pPr>
              <w:spacing w:line="240" w:lineRule="auto"/>
              <w:jc w:val="center"/>
              <w:rPr/>
            </w:pPr>
            <w:r>
              <w:rPr>
                <w:rFonts w:ascii="Times New Roman" w:cs="Times New Roman" w:eastAsia="Times New Roman" w:hAnsi="Times New Roman"/>
                <w:b w:val="1"/>
                <w:bCs w:val="1"/>
                <w:sz w:val="16"/>
                <w:szCs w:val="16"/>
                <w:rtl w:val="0"/>
              </w:rPr>
              <w:t xml:space="preserve">SD</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5">
            <w:pPr>
              <w:spacing w:line="240" w:lineRule="auto"/>
              <w:jc w:val="center"/>
              <w:rPr/>
            </w:pPr>
            <w:r>
              <w:rPr>
                <w:rFonts w:ascii="Times New Roman" w:cs="Times New Roman" w:eastAsia="Times New Roman" w:hAnsi="Times New Roman"/>
                <w:b w:val="1"/>
                <w:bCs w:val="1"/>
                <w:sz w:val="16"/>
                <w:szCs w:val="16"/>
                <w:rtl w:val="0"/>
              </w:rPr>
              <w:t xml:space="preserve">Min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6">
            <w:pPr>
              <w:spacing w:line="240" w:lineRule="auto"/>
              <w:jc w:val="center"/>
              <w:rPr/>
            </w:pPr>
            <w:r>
              <w:rPr>
                <w:rFonts w:ascii="Times New Roman" w:cs="Times New Roman" w:eastAsia="Times New Roman" w:hAnsi="Times New Roman"/>
                <w:b w:val="1"/>
                <w:bCs w:val="1"/>
                <w:sz w:val="16"/>
                <w:szCs w:val="16"/>
                <w:rtl w:val="0"/>
              </w:rPr>
              <w:t xml:space="preserve">Max</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7">
            <w:pPr>
              <w:spacing w:line="240" w:lineRule="auto"/>
              <w:jc w:val="center"/>
              <w:rPr/>
            </w:pPr>
            <w:r>
              <w:rPr>
                <w:rFonts w:ascii="Times New Roman" w:cs="Times New Roman" w:eastAsia="Times New Roman" w:hAnsi="Times New Roman"/>
                <w:b w:val="1"/>
                <w:bCs w:val="1"/>
                <w:sz w:val="16"/>
                <w:szCs w:val="16"/>
                <w:rtl w:val="0"/>
              </w:rPr>
              <w:t xml:space="preserve">p25</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8">
            <w:pPr>
              <w:spacing w:line="240" w:lineRule="auto"/>
              <w:jc w:val="center"/>
              <w:rPr/>
            </w:pPr>
            <w:r>
              <w:rPr>
                <w:rFonts w:ascii="Times New Roman" w:cs="Times New Roman" w:eastAsia="Times New Roman" w:hAnsi="Times New Roman"/>
                <w:b w:val="1"/>
                <w:bCs w:val="1"/>
                <w:sz w:val="16"/>
                <w:szCs w:val="16"/>
                <w:rtl w:val="0"/>
              </w:rPr>
              <w:t xml:space="preserve">p50</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9">
            <w:pPr>
              <w:spacing w:line="240" w:lineRule="auto"/>
              <w:jc w:val="center"/>
              <w:rPr/>
            </w:pPr>
            <w:r>
              <w:rPr>
                <w:rFonts w:ascii="Times New Roman" w:cs="Times New Roman" w:eastAsia="Times New Roman" w:hAnsi="Times New Roman"/>
                <w:b w:val="1"/>
                <w:bCs w:val="1"/>
                <w:sz w:val="16"/>
                <w:szCs w:val="16"/>
                <w:rtl w:val="0"/>
              </w:rPr>
              <w:t xml:space="preserve">p75</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A">
            <w:pPr>
              <w:spacing w:line="240" w:lineRule="auto"/>
              <w:jc w:val="left"/>
              <w:rPr/>
            </w:pPr>
            <w:r>
              <w:rPr>
                <w:rFonts w:ascii="Times New Roman" w:cs="Times New Roman" w:eastAsia="Times New Roman" w:hAnsi="Times New Roman"/>
                <w:b w:val="0"/>
                <w:bCs w:val="0"/>
                <w:sz w:val="16"/>
                <w:szCs w:val="16"/>
                <w:rtl w:val="0"/>
              </w:rPr>
              <w:t xml:space="preserve">Ln(Labour productivity)</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B">
            <w:pPr>
              <w:spacing w:line="240" w:lineRule="auto"/>
              <w:jc w:val="center"/>
              <w:rPr/>
            </w:pPr>
            <w:r>
              <w:rPr>
                <w:rFonts w:ascii="Times New Roman" w:cs="Times New Roman" w:eastAsia="Times New Roman" w:hAnsi="Times New Roman"/>
                <w:b w:val="0"/>
                <w:bCs w:val="0"/>
                <w:sz w:val="16"/>
                <w:szCs w:val="16"/>
                <w:rtl w:val="0"/>
              </w:rPr>
              <w:t xml:space="preserve">11.42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C">
            <w:pPr>
              <w:spacing w:line="240" w:lineRule="auto"/>
              <w:jc w:val="center"/>
              <w:rPr/>
            </w:pPr>
            <w:r>
              <w:rPr>
                <w:rFonts w:ascii="Times New Roman" w:cs="Times New Roman" w:eastAsia="Times New Roman" w:hAnsi="Times New Roman"/>
                <w:b w:val="0"/>
                <w:bCs w:val="0"/>
                <w:sz w:val="16"/>
                <w:szCs w:val="16"/>
                <w:rtl w:val="0"/>
              </w:rPr>
              <w:t xml:space="preserve">1.18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D">
            <w:pPr>
              <w:spacing w:line="240" w:lineRule="auto"/>
              <w:jc w:val="center"/>
              <w:rPr/>
            </w:pPr>
            <w:r>
              <w:rPr>
                <w:rFonts w:ascii="Times New Roman" w:cs="Times New Roman" w:eastAsia="Times New Roman" w:hAnsi="Times New Roman"/>
                <w:b w:val="0"/>
                <w:bCs w:val="0"/>
                <w:sz w:val="16"/>
                <w:szCs w:val="16"/>
                <w:rtl w:val="0"/>
              </w:rPr>
              <w:t xml:space="preserve">7.89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E">
            <w:pPr>
              <w:spacing w:line="240" w:lineRule="auto"/>
              <w:jc w:val="center"/>
              <w:rPr/>
            </w:pPr>
            <w:r>
              <w:rPr>
                <w:rFonts w:ascii="Times New Roman" w:cs="Times New Roman" w:eastAsia="Times New Roman" w:hAnsi="Times New Roman"/>
                <w:b w:val="0"/>
                <w:bCs w:val="0"/>
                <w:sz w:val="16"/>
                <w:szCs w:val="16"/>
                <w:rtl w:val="0"/>
              </w:rPr>
              <w:t xml:space="preserve">15.21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F">
            <w:pPr>
              <w:spacing w:line="240" w:lineRule="auto"/>
              <w:jc w:val="center"/>
              <w:rPr/>
            </w:pPr>
            <w:r>
              <w:rPr>
                <w:rFonts w:ascii="Times New Roman" w:cs="Times New Roman" w:eastAsia="Times New Roman" w:hAnsi="Times New Roman"/>
                <w:b w:val="0"/>
                <w:bCs w:val="0"/>
                <w:sz w:val="16"/>
                <w:szCs w:val="16"/>
                <w:rtl w:val="0"/>
              </w:rPr>
              <w:t xml:space="preserve">10.62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0">
            <w:pPr>
              <w:spacing w:line="240" w:lineRule="auto"/>
              <w:jc w:val="center"/>
              <w:rPr/>
            </w:pPr>
            <w:r>
              <w:rPr>
                <w:rFonts w:ascii="Times New Roman" w:cs="Times New Roman" w:eastAsia="Times New Roman" w:hAnsi="Times New Roman"/>
                <w:b w:val="0"/>
                <w:bCs w:val="0"/>
                <w:sz w:val="16"/>
                <w:szCs w:val="16"/>
                <w:rtl w:val="0"/>
              </w:rPr>
              <w:t xml:space="preserve">11.40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1">
            <w:pPr>
              <w:spacing w:line="240" w:lineRule="auto"/>
              <w:jc w:val="center"/>
              <w:rPr/>
            </w:pPr>
            <w:r>
              <w:rPr>
                <w:rFonts w:ascii="Times New Roman" w:cs="Times New Roman" w:eastAsia="Times New Roman" w:hAnsi="Times New Roman"/>
                <w:b w:val="0"/>
                <w:bCs w:val="0"/>
                <w:sz w:val="16"/>
                <w:szCs w:val="16"/>
                <w:rtl w:val="0"/>
              </w:rPr>
              <w:t xml:space="preserve">12.21</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2">
            <w:pPr>
              <w:spacing w:line="240" w:lineRule="auto"/>
              <w:jc w:val="left"/>
              <w:rPr/>
            </w:pPr>
            <w:r>
              <w:rPr>
                <w:rFonts w:ascii="Times New Roman" w:cs="Times New Roman" w:eastAsia="Times New Roman" w:hAnsi="Times New Roman"/>
                <w:b w:val="0"/>
                <w:bCs w:val="0"/>
                <w:sz w:val="16"/>
                <w:szCs w:val="16"/>
                <w:rtl w:val="0"/>
              </w:rPr>
              <w:t xml:space="preserve">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3">
            <w:pPr>
              <w:spacing w:line="240" w:lineRule="auto"/>
              <w:jc w:val="center"/>
              <w:rPr/>
            </w:pPr>
            <w:r>
              <w:rPr>
                <w:rFonts w:ascii="Times New Roman" w:cs="Times New Roman" w:eastAsia="Times New Roman" w:hAnsi="Times New Roman"/>
                <w:b w:val="0"/>
                <w:bCs w:val="0"/>
                <w:sz w:val="16"/>
                <w:szCs w:val="16"/>
                <w:rtl w:val="0"/>
              </w:rPr>
              <w:t xml:space="preserve">0.045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4">
            <w:pPr>
              <w:spacing w:line="240" w:lineRule="auto"/>
              <w:jc w:val="center"/>
              <w:rPr/>
            </w:pPr>
            <w:r>
              <w:rPr>
                <w:rFonts w:ascii="Times New Roman" w:cs="Times New Roman" w:eastAsia="Times New Roman" w:hAnsi="Times New Roman"/>
                <w:b w:val="0"/>
                <w:bCs w:val="0"/>
                <w:sz w:val="16"/>
                <w:szCs w:val="16"/>
                <w:rtl w:val="0"/>
              </w:rPr>
              <w:t xml:space="preserve">0.144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5">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6">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7">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8">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9">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A">
            <w:pPr>
              <w:spacing w:line="240" w:lineRule="auto"/>
              <w:jc w:val="left"/>
              <w:rPr/>
            </w:pPr>
            <w:r>
              <w:rPr>
                <w:rFonts w:ascii="Times New Roman" w:cs="Times New Roman" w:eastAsia="Times New Roman" w:hAnsi="Times New Roman"/>
                <w:b w:val="0"/>
                <w:bCs w:val="0"/>
                <w:sz w:val="16"/>
                <w:szCs w:val="16"/>
                <w:rtl w:val="0"/>
              </w:rPr>
              <w:t xml:space="preserve">FSTS²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B">
            <w:pPr>
              <w:spacing w:line="240" w:lineRule="auto"/>
              <w:jc w:val="center"/>
              <w:rPr/>
            </w:pPr>
            <w:r>
              <w:rPr>
                <w:rFonts w:ascii="Times New Roman" w:cs="Times New Roman" w:eastAsia="Times New Roman" w:hAnsi="Times New Roman"/>
                <w:b w:val="0"/>
                <w:bCs w:val="0"/>
                <w:sz w:val="16"/>
                <w:szCs w:val="16"/>
                <w:rtl w:val="0"/>
              </w:rPr>
              <w:t xml:space="preserve">0.022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C">
            <w:pPr>
              <w:spacing w:line="240" w:lineRule="auto"/>
              <w:jc w:val="center"/>
              <w:rPr/>
            </w:pPr>
            <w:r>
              <w:rPr>
                <w:rFonts w:ascii="Times New Roman" w:cs="Times New Roman" w:eastAsia="Times New Roman" w:hAnsi="Times New Roman"/>
                <w:b w:val="0"/>
                <w:bCs w:val="0"/>
                <w:sz w:val="16"/>
                <w:szCs w:val="16"/>
                <w:rtl w:val="0"/>
              </w:rPr>
              <w:t xml:space="preserve">0.085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D">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E">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F">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0">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1">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2">
            <w:pPr>
              <w:spacing w:line="240" w:lineRule="auto"/>
              <w:jc w:val="left"/>
              <w:rPr/>
            </w:pPr>
            <w:r>
              <w:rPr>
                <w:rFonts w:ascii="Times New Roman" w:cs="Times New Roman" w:eastAsia="Times New Roman" w:hAnsi="Times New Roman"/>
                <w:b w:val="0"/>
                <w:bCs w:val="0"/>
                <w:sz w:val="16"/>
                <w:szCs w:val="16"/>
                <w:rtl w:val="0"/>
              </w:rPr>
              <w:t xml:space="preserve">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3">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4">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5">
            <w:pPr>
              <w:spacing w:line="240" w:lineRule="auto"/>
              <w:jc w:val="center"/>
              <w:rPr/>
            </w:pPr>
            <w:r>
              <w:rPr>
                <w:rFonts w:ascii="Times New Roman" w:cs="Times New Roman" w:eastAsia="Times New Roman" w:hAnsi="Times New Roman"/>
                <w:b w:val="0"/>
                <w:bCs w:val="0"/>
                <w:sz w:val="16"/>
                <w:szCs w:val="16"/>
                <w:rtl w:val="0"/>
              </w:rPr>
              <w:t xml:space="preserve">-0.85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6">
            <w:pPr>
              <w:spacing w:line="240" w:lineRule="auto"/>
              <w:jc w:val="center"/>
              <w:rPr/>
            </w:pPr>
            <w:r>
              <w:rPr>
                <w:rFonts w:ascii="Times New Roman" w:cs="Times New Roman" w:eastAsia="Times New Roman" w:hAnsi="Times New Roman"/>
                <w:b w:val="0"/>
                <w:bCs w:val="0"/>
                <w:sz w:val="16"/>
                <w:szCs w:val="16"/>
                <w:rtl w:val="0"/>
              </w:rPr>
              <w:t xml:space="preserve">3.21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7">
            <w:pPr>
              <w:spacing w:line="240" w:lineRule="auto"/>
              <w:jc w:val="center"/>
              <w:rPr/>
            </w:pPr>
            <w:r>
              <w:rPr>
                <w:rFonts w:ascii="Times New Roman" w:cs="Times New Roman" w:eastAsia="Times New Roman" w:hAnsi="Times New Roman"/>
                <w:b w:val="0"/>
                <w:bCs w:val="0"/>
                <w:sz w:val="16"/>
                <w:szCs w:val="16"/>
                <w:rtl w:val="0"/>
              </w:rPr>
              <w:t xml:space="preserve">-0.85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8">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9">
            <w:pPr>
              <w:spacing w:line="240" w:lineRule="auto"/>
              <w:jc w:val="center"/>
              <w:rPr/>
            </w:pPr>
            <w:r>
              <w:rPr>
                <w:rFonts w:ascii="Times New Roman" w:cs="Times New Roman" w:eastAsia="Times New Roman" w:hAnsi="Times New Roman"/>
                <w:b w:val="0"/>
                <w:bCs w:val="0"/>
                <w:sz w:val="16"/>
                <w:szCs w:val="16"/>
                <w:rtl w:val="0"/>
              </w:rPr>
              <w:t xml:space="preserve">0.51</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A">
            <w:pPr>
              <w:spacing w:line="240" w:lineRule="auto"/>
              <w:jc w:val="left"/>
              <w:rPr/>
            </w:pPr>
            <w:r>
              <w:rPr>
                <w:rFonts w:ascii="Times New Roman" w:cs="Times New Roman" w:eastAsia="Times New Roman" w:hAnsi="Times New Roman"/>
                <w:b w:val="0"/>
                <w:bCs w:val="0"/>
                <w:sz w:val="16"/>
                <w:szCs w:val="16"/>
                <w:rtl w:val="0"/>
              </w:rPr>
              <w:t xml:space="preserve">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B">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C">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D">
            <w:pPr>
              <w:spacing w:line="240" w:lineRule="auto"/>
              <w:jc w:val="center"/>
              <w:rPr/>
            </w:pPr>
            <w:r>
              <w:rPr>
                <w:rFonts w:ascii="Times New Roman" w:cs="Times New Roman" w:eastAsia="Times New Roman" w:hAnsi="Times New Roman"/>
                <w:b w:val="0"/>
                <w:bCs w:val="0"/>
                <w:sz w:val="16"/>
                <w:szCs w:val="16"/>
                <w:rtl w:val="0"/>
              </w:rPr>
              <w:t xml:space="preserve">-1.42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E">
            <w:pPr>
              <w:spacing w:line="240" w:lineRule="auto"/>
              <w:jc w:val="center"/>
              <w:rPr/>
            </w:pPr>
            <w:r>
              <w:rPr>
                <w:rFonts w:ascii="Times New Roman" w:cs="Times New Roman" w:eastAsia="Times New Roman" w:hAnsi="Times New Roman"/>
                <w:b w:val="0"/>
                <w:bCs w:val="0"/>
                <w:sz w:val="16"/>
                <w:szCs w:val="16"/>
                <w:rtl w:val="0"/>
              </w:rPr>
              <w:t xml:space="preserve">1.96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F">
            <w:pPr>
              <w:spacing w:line="240" w:lineRule="auto"/>
              <w:jc w:val="center"/>
              <w:rPr/>
            </w:pPr>
            <w:r>
              <w:rPr>
                <w:rFonts w:ascii="Times New Roman" w:cs="Times New Roman" w:eastAsia="Times New Roman" w:hAnsi="Times New Roman"/>
                <w:b w:val="0"/>
                <w:bCs w:val="0"/>
                <w:sz w:val="16"/>
                <w:szCs w:val="16"/>
                <w:rtl w:val="0"/>
              </w:rPr>
              <w:t xml:space="preserve">-0.81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0">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1">
            <w:pPr>
              <w:spacing w:line="240" w:lineRule="auto"/>
              <w:jc w:val="center"/>
              <w:rPr/>
            </w:pPr>
            <w:r>
              <w:rPr>
                <w:rFonts w:ascii="Times New Roman" w:cs="Times New Roman" w:eastAsia="Times New Roman" w:hAnsi="Times New Roman"/>
                <w:b w:val="0"/>
                <w:bCs w:val="0"/>
                <w:sz w:val="16"/>
                <w:szCs w:val="16"/>
                <w:rtl w:val="0"/>
              </w:rPr>
              <w:t xml:space="preserve">0.94</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2">
            <w:pPr>
              <w:spacing w:line="240" w:lineRule="auto"/>
              <w:jc w:val="left"/>
              <w:rPr/>
            </w:pPr>
            <w:r>
              <w:rPr>
                <w:rFonts w:ascii="Times New Roman" w:cs="Times New Roman" w:eastAsia="Times New Roman" w:hAnsi="Times New Roman"/>
                <w:b w:val="0"/>
                <w:bCs w:val="0"/>
                <w:sz w:val="16"/>
                <w:szCs w:val="16"/>
                <w:rtl w:val="0"/>
              </w:rPr>
              <w:t xml:space="preserve">Firm size (ln_empl)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3">
            <w:pPr>
              <w:spacing w:line="240" w:lineRule="auto"/>
              <w:jc w:val="center"/>
              <w:rPr/>
            </w:pPr>
            <w:r>
              <w:rPr>
                <w:rFonts w:ascii="Times New Roman" w:cs="Times New Roman" w:eastAsia="Times New Roman" w:hAnsi="Times New Roman"/>
                <w:b w:val="0"/>
                <w:bCs w:val="0"/>
                <w:sz w:val="16"/>
                <w:szCs w:val="16"/>
                <w:rtl w:val="0"/>
              </w:rPr>
              <w:t xml:space="preserve">3.21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4">
            <w:pPr>
              <w:spacing w:line="240" w:lineRule="auto"/>
              <w:jc w:val="center"/>
              <w:rPr/>
            </w:pPr>
            <w:r>
              <w:rPr>
                <w:rFonts w:ascii="Times New Roman" w:cs="Times New Roman" w:eastAsia="Times New Roman" w:hAnsi="Times New Roman"/>
                <w:b w:val="0"/>
                <w:bCs w:val="0"/>
                <w:sz w:val="16"/>
                <w:szCs w:val="16"/>
                <w:rtl w:val="0"/>
              </w:rPr>
              <w:t xml:space="preserve">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5">
            <w:pPr>
              <w:spacing w:line="240" w:lineRule="auto"/>
              <w:jc w:val="center"/>
              <w:rPr/>
            </w:pPr>
            <w:r>
              <w:rPr>
                <w:rFonts w:ascii="Times New Roman" w:cs="Times New Roman" w:eastAsia="Times New Roman" w:hAnsi="Times New Roman"/>
                <w:b w:val="0"/>
                <w:bCs w:val="0"/>
                <w:sz w:val="16"/>
                <w:szCs w:val="16"/>
                <w:rtl w:val="0"/>
              </w:rPr>
              <w:t xml:space="preserve">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6">
            <w:pPr>
              <w:spacing w:line="240" w:lineRule="auto"/>
              <w:jc w:val="center"/>
              <w:rPr/>
            </w:pPr>
            <w:r>
              <w:rPr>
                <w:rFonts w:ascii="Times New Roman" w:cs="Times New Roman" w:eastAsia="Times New Roman" w:hAnsi="Times New Roman"/>
                <w:b w:val="0"/>
                <w:bCs w:val="0"/>
                <w:sz w:val="16"/>
                <w:szCs w:val="16"/>
                <w:rtl w:val="0"/>
              </w:rPr>
              <w:t xml:space="preserve">8.85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7">
            <w:pPr>
              <w:spacing w:line="240" w:lineRule="auto"/>
              <w:jc w:val="center"/>
              <w:rPr/>
            </w:pPr>
            <w:r>
              <w:rPr>
                <w:rFonts w:ascii="Times New Roman" w:cs="Times New Roman" w:eastAsia="Times New Roman" w:hAnsi="Times New Roman"/>
                <w:b w:val="0"/>
                <w:bCs w:val="0"/>
                <w:sz w:val="16"/>
                <w:szCs w:val="16"/>
                <w:rtl w:val="0"/>
              </w:rPr>
              <w:t xml:space="preserve">2.20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8">
            <w:pPr>
              <w:spacing w:line="240" w:lineRule="auto"/>
              <w:jc w:val="center"/>
              <w:rPr/>
            </w:pPr>
            <w:r>
              <w:rPr>
                <w:rFonts w:ascii="Times New Roman" w:cs="Times New Roman" w:eastAsia="Times New Roman" w:hAnsi="Times New Roman"/>
                <w:b w:val="0"/>
                <w:bCs w:val="0"/>
                <w:sz w:val="16"/>
                <w:szCs w:val="16"/>
                <w:rtl w:val="0"/>
              </w:rPr>
              <w:t xml:space="preserve">3.18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9">
            <w:pPr>
              <w:spacing w:line="240" w:lineRule="auto"/>
              <w:jc w:val="center"/>
              <w:rPr/>
            </w:pPr>
            <w:r>
              <w:rPr>
                <w:rFonts w:ascii="Times New Roman" w:cs="Times New Roman" w:eastAsia="Times New Roman" w:hAnsi="Times New Roman"/>
                <w:b w:val="0"/>
                <w:bCs w:val="0"/>
                <w:sz w:val="16"/>
                <w:szCs w:val="16"/>
                <w:rtl w:val="0"/>
              </w:rPr>
              <w:t xml:space="preserve">4.25</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A">
            <w:pPr>
              <w:spacing w:line="240" w:lineRule="auto"/>
              <w:jc w:val="left"/>
              <w:rPr/>
            </w:pPr>
            <w:r>
              <w:rPr>
                <w:rFonts w:ascii="Times New Roman" w:cs="Times New Roman" w:eastAsia="Times New Roman" w:hAnsi="Times New Roman"/>
                <w:b w:val="0"/>
                <w:bCs w:val="0"/>
                <w:sz w:val="16"/>
                <w:szCs w:val="16"/>
                <w:rtl w:val="0"/>
              </w:rPr>
              <w:t xml:space="preserve">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B">
            <w:pPr>
              <w:spacing w:line="240" w:lineRule="auto"/>
              <w:jc w:val="center"/>
              <w:rPr/>
            </w:pPr>
            <w:r>
              <w:rPr>
                <w:rFonts w:ascii="Times New Roman" w:cs="Times New Roman" w:eastAsia="Times New Roman" w:hAnsi="Times New Roman"/>
                <w:b w:val="0"/>
                <w:bCs w:val="0"/>
                <w:sz w:val="16"/>
                <w:szCs w:val="16"/>
                <w:rtl w:val="0"/>
              </w:rPr>
              <w:t xml:space="preserve">21.4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C">
            <w:pPr>
              <w:spacing w:line="240" w:lineRule="auto"/>
              <w:jc w:val="center"/>
              <w:rPr/>
            </w:pPr>
            <w:r>
              <w:rPr>
                <w:rFonts w:ascii="Times New Roman" w:cs="Times New Roman" w:eastAsia="Times New Roman" w:hAnsi="Times New Roman"/>
                <w:b w:val="0"/>
                <w:bCs w:val="0"/>
                <w:sz w:val="16"/>
                <w:szCs w:val="16"/>
                <w:rtl w:val="0"/>
              </w:rPr>
              <w:t xml:space="preserve">14.8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D">
            <w:pPr>
              <w:spacing w:line="240" w:lineRule="auto"/>
              <w:jc w:val="center"/>
              <w:rPr/>
            </w:pPr>
            <w:r>
              <w:rPr>
                <w:rFonts w:ascii="Times New Roman" w:cs="Times New Roman" w:eastAsia="Times New Roman" w:hAnsi="Times New Roman"/>
                <w:b w:val="0"/>
                <w:bCs w:val="0"/>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E">
            <w:pPr>
              <w:spacing w:line="240" w:lineRule="auto"/>
              <w:jc w:val="center"/>
              <w:rPr/>
            </w:pPr>
            <w:r>
              <w:rPr>
                <w:rFonts w:ascii="Times New Roman" w:cs="Times New Roman" w:eastAsia="Times New Roman" w:hAnsi="Times New Roman"/>
                <w:b w:val="0"/>
                <w:bCs w:val="0"/>
                <w:sz w:val="16"/>
                <w:szCs w:val="16"/>
                <w:rtl w:val="0"/>
              </w:rPr>
              <w:t xml:space="preserve">98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F">
            <w:pPr>
              <w:spacing w:line="240" w:lineRule="auto"/>
              <w:jc w:val="center"/>
              <w:rPr/>
            </w:pPr>
            <w:r>
              <w:rPr>
                <w:rFonts w:ascii="Times New Roman" w:cs="Times New Roman" w:eastAsia="Times New Roman" w:hAnsi="Times New Roman"/>
                <w:b w:val="0"/>
                <w:bCs w:val="0"/>
                <w:sz w:val="16"/>
                <w:szCs w:val="16"/>
                <w:rtl w:val="0"/>
              </w:rPr>
              <w:t xml:space="preserve">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0">
            <w:pPr>
              <w:spacing w:line="240" w:lineRule="auto"/>
              <w:jc w:val="center"/>
              <w:rPr/>
            </w:pPr>
            <w:r>
              <w:rPr>
                <w:rFonts w:ascii="Times New Roman" w:cs="Times New Roman" w:eastAsia="Times New Roman" w:hAnsi="Times New Roman"/>
                <w:b w:val="0"/>
                <w:bCs w:val="0"/>
                <w:sz w:val="16"/>
                <w:szCs w:val="16"/>
                <w:rtl w:val="0"/>
              </w:rPr>
              <w:t xml:space="preserve">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1">
            <w:pPr>
              <w:spacing w:line="240" w:lineRule="auto"/>
              <w:jc w:val="center"/>
              <w:rPr/>
            </w:pPr>
            <w:r>
              <w:rPr>
                <w:rFonts w:ascii="Times New Roman" w:cs="Times New Roman" w:eastAsia="Times New Roman" w:hAnsi="Times New Roman"/>
                <w:b w:val="0"/>
                <w:bCs w:val="0"/>
                <w:sz w:val="16"/>
                <w:szCs w:val="16"/>
                <w:rtl w:val="0"/>
              </w:rPr>
              <w:t xml:space="preserve">30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2">
            <w:pPr>
              <w:spacing w:line="240" w:lineRule="auto"/>
              <w:jc w:val="left"/>
              <w:rPr/>
            </w:pPr>
            <w:r>
              <w:rPr>
                <w:rFonts w:ascii="Times New Roman" w:cs="Times New Roman" w:eastAsia="Times New Roman" w:hAnsi="Times New Roman"/>
                <w:b w:val="0"/>
                <w:bCs w:val="0"/>
                <w:sz w:val="16"/>
                <w:szCs w:val="16"/>
                <w:rtl w:val="0"/>
              </w:rPr>
              <w:t xml:space="preserve">Foreign-owned (0/1)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3">
            <w:pPr>
              <w:spacing w:line="240" w:lineRule="auto"/>
              <w:jc w:val="center"/>
              <w:rPr/>
            </w:pPr>
            <w:r>
              <w:rPr>
                <w:rFonts w:ascii="Times New Roman" w:cs="Times New Roman" w:eastAsia="Times New Roman" w:hAnsi="Times New Roman"/>
                <w:b w:val="0"/>
                <w:bCs w:val="0"/>
                <w:sz w:val="16"/>
                <w:szCs w:val="16"/>
                <w:rtl w:val="0"/>
              </w:rPr>
              <w:t xml:space="preserve">0.119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4">
            <w:pPr>
              <w:spacing w:line="240" w:lineRule="auto"/>
              <w:jc w:val="center"/>
              <w:rPr/>
            </w:pPr>
            <w:r>
              <w:rPr>
                <w:rFonts w:ascii="Times New Roman" w:cs="Times New Roman" w:eastAsia="Times New Roman" w:hAnsi="Times New Roman"/>
                <w:b w:val="0"/>
                <w:bCs w:val="0"/>
                <w:sz w:val="16"/>
                <w:szCs w:val="16"/>
                <w:rtl w:val="0"/>
              </w:rPr>
              <w:t xml:space="preserve">0.324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5">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6">
            <w:pPr>
              <w:spacing w:line="240" w:lineRule="auto"/>
              <w:jc w:val="center"/>
              <w:rPr/>
            </w:pPr>
            <w:r>
              <w:rPr>
                <w:rFonts w:ascii="Times New Roman" w:cs="Times New Roman" w:eastAsia="Times New Roman" w:hAnsi="Times New Roman"/>
                <w:b w:val="0"/>
                <w:bCs w:val="0"/>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7">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8">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9">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r>
      <w:tr>
        <w:trPr>
          <w:cantSplit w:val="1"/>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A">
            <w:pPr>
              <w:spacing w:line="240" w:lineRule="auto"/>
              <w:jc w:val="left"/>
              <w:rPr/>
            </w:pPr>
            <w:r>
              <w:rPr>
                <w:rFonts w:ascii="Times New Roman" w:cs="Times New Roman" w:eastAsia="Times New Roman" w:hAnsi="Times New Roman"/>
                <w:b w:val="1"/>
                <w:bCs w:val="1"/>
                <w:sz w:val="16"/>
                <w:szCs w:val="16"/>
                <w:rtl w:val="0"/>
              </w:rPr>
              <w:t xml:space="preserve">Panel B: Pairwise Correlations</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B">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C">
            <w:pPr>
              <w:spacing w:line="240" w:lineRule="auto"/>
              <w:jc w:val="center"/>
              <w:rPr/>
            </w:pPr>
            <w:r>
              <w:rPr>
                <w:rFonts w:ascii="Times New Roman" w:cs="Times New Roman" w:eastAsia="Times New Roman" w:hAnsi="Times New Roman"/>
                <w:b w:val="1"/>
                <w:bCs w:val="1"/>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D">
            <w:pPr>
              <w:spacing w:line="240" w:lineRule="auto"/>
              <w:jc w:val="center"/>
              <w:rPr/>
            </w:pPr>
            <w:r>
              <w:rPr>
                <w:rFonts w:ascii="Times New Roman" w:cs="Times New Roman" w:eastAsia="Times New Roman" w:hAnsi="Times New Roman"/>
                <w:b w:val="1"/>
                <w:bCs w:val="1"/>
                <w:sz w:val="16"/>
                <w:szCs w:val="16"/>
                <w:rtl w:val="0"/>
              </w:rPr>
              <w:t xml:space="preserve">2</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E">
            <w:pPr>
              <w:spacing w:line="240" w:lineRule="auto"/>
              <w:jc w:val="center"/>
              <w:rPr/>
            </w:pPr>
            <w:r>
              <w:rPr>
                <w:rFonts w:ascii="Times New Roman" w:cs="Times New Roman" w:eastAsia="Times New Roman" w:hAnsi="Times New Roman"/>
                <w:b w:val="1"/>
                <w:bCs w:val="1"/>
                <w:sz w:val="16"/>
                <w:szCs w:val="16"/>
                <w:rtl w:val="0"/>
              </w:rPr>
              <w:t xml:space="preserve">3</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F">
            <w:pPr>
              <w:spacing w:line="240" w:lineRule="auto"/>
              <w:jc w:val="center"/>
              <w:rPr/>
            </w:pPr>
            <w:r>
              <w:rPr>
                <w:rFonts w:ascii="Times New Roman" w:cs="Times New Roman" w:eastAsia="Times New Roman" w:hAnsi="Times New Roman"/>
                <w:b w:val="1"/>
                <w:bCs w:val="1"/>
                <w:sz w:val="16"/>
                <w:szCs w:val="16"/>
                <w:rtl w:val="0"/>
              </w:rPr>
              <w:t xml:space="preserve">4</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0">
            <w:pPr>
              <w:spacing w:line="240" w:lineRule="auto"/>
              <w:jc w:val="center"/>
              <w:rPr/>
            </w:pPr>
            <w:r>
              <w:rPr>
                <w:rFonts w:ascii="Times New Roman" w:cs="Times New Roman" w:eastAsia="Times New Roman" w:hAnsi="Times New Roman"/>
                <w:b w:val="1"/>
                <w:bCs w:val="1"/>
                <w:sz w:val="16"/>
                <w:szCs w:val="16"/>
                <w:rtl w:val="0"/>
              </w:rPr>
              <w:t xml:space="preserve">5</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1">
            <w:pPr>
              <w:spacing w:line="240" w:lineRule="auto"/>
              <w:jc w:val="center"/>
              <w:rPr/>
            </w:pPr>
            <w:r>
              <w:rPr>
                <w:rFonts w:ascii="Times New Roman" w:cs="Times New Roman" w:eastAsia="Times New Roman" w:hAnsi="Times New Roman"/>
                <w:b w:val="1"/>
                <w:bCs w:val="1"/>
                <w:sz w:val="16"/>
                <w:szCs w:val="16"/>
                <w:rtl w:val="0"/>
              </w:rPr>
              <w:t xml:space="preserve">6</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2">
            <w:pPr>
              <w:spacing w:line="240" w:lineRule="auto"/>
              <w:jc w:val="center"/>
              <w:rPr/>
            </w:pPr>
            <w:r>
              <w:rPr>
                <w:rFonts w:ascii="Times New Roman" w:cs="Times New Roman" w:eastAsia="Times New Roman" w:hAnsi="Times New Roman"/>
                <w:b w:val="1"/>
                <w:bCs w:val="1"/>
                <w:sz w:val="16"/>
                <w:szCs w:val="16"/>
                <w:rtl w:val="0"/>
              </w:rPr>
              <w:t xml:space="preserve">7</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3">
            <w:pPr>
              <w:spacing w:line="240" w:lineRule="auto"/>
              <w:jc w:val="left"/>
              <w:rPr/>
            </w:pPr>
            <w:r>
              <w:rPr>
                <w:rFonts w:ascii="Times New Roman" w:cs="Times New Roman" w:eastAsia="Times New Roman" w:hAnsi="Times New Roman"/>
                <w:b w:val="0"/>
                <w:bCs w:val="0"/>
                <w:sz w:val="16"/>
                <w:szCs w:val="16"/>
                <w:rtl w:val="0"/>
              </w:rPr>
              <w:t xml:space="preserve">1. Ln(Lab. prod.)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4">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6">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7">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8">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B">
            <w:pPr>
              <w:spacing w:line="240" w:lineRule="auto"/>
              <w:jc w:val="left"/>
              <w:rPr/>
            </w:pPr>
            <w:r>
              <w:rPr>
                <w:rFonts w:ascii="Times New Roman" w:cs="Times New Roman" w:eastAsia="Times New Roman" w:hAnsi="Times New Roman"/>
                <w:b w:val="0"/>
                <w:bCs w:val="0"/>
                <w:sz w:val="16"/>
                <w:szCs w:val="16"/>
                <w:rtl w:val="0"/>
              </w:rPr>
              <w:t xml:space="preserve">2. 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C">
            <w:pPr>
              <w:spacing w:line="240" w:lineRule="auto"/>
              <w:jc w:val="center"/>
              <w:rPr/>
            </w:pPr>
            <w:r>
              <w:rPr>
                <w:rFonts w:ascii="Times New Roman" w:cs="Times New Roman" w:eastAsia="Times New Roman" w:hAnsi="Times New Roman"/>
                <w:b w:val="0"/>
                <w:bCs w:val="0"/>
                <w:sz w:val="16"/>
                <w:szCs w:val="16"/>
                <w:rtl w:val="0"/>
              </w:rPr>
              <w:t xml:space="preserve">0.13***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D">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E">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F">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0">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1">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3">
            <w:pPr>
              <w:spacing w:line="240" w:lineRule="auto"/>
              <w:jc w:val="left"/>
              <w:rPr/>
            </w:pPr>
            <w:r>
              <w:rPr>
                <w:rFonts w:ascii="Times New Roman" w:cs="Times New Roman" w:eastAsia="Times New Roman" w:hAnsi="Times New Roman"/>
                <w:b w:val="0"/>
                <w:bCs w:val="0"/>
                <w:sz w:val="16"/>
                <w:szCs w:val="16"/>
                <w:rtl w:val="0"/>
              </w:rPr>
              <w:t xml:space="preserve">3. 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4">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5">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6">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7">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8">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B">
            <w:pPr>
              <w:spacing w:line="240" w:lineRule="auto"/>
              <w:jc w:val="left"/>
              <w:rPr/>
            </w:pPr>
            <w:r>
              <w:rPr>
                <w:rFonts w:ascii="Times New Roman" w:cs="Times New Roman" w:eastAsia="Times New Roman" w:hAnsi="Times New Roman"/>
                <w:b w:val="0"/>
                <w:bCs w:val="0"/>
                <w:sz w:val="16"/>
                <w:szCs w:val="16"/>
                <w:rtl w:val="0"/>
              </w:rPr>
              <w:t xml:space="preserve">4. 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C">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D">
            <w:pPr>
              <w:spacing w:line="240" w:lineRule="auto"/>
              <w:jc w:val="center"/>
              <w:rPr/>
            </w:pPr>
            <w:r>
              <w:rPr>
                <w:rFonts w:ascii="Times New Roman" w:cs="Times New Roman" w:eastAsia="Times New Roman" w:hAnsi="Times New Roman"/>
                <w:b w:val="0"/>
                <w:bCs w:val="0"/>
                <w:sz w:val="16"/>
                <w:szCs w:val="16"/>
                <w:rtl w:val="0"/>
              </w:rPr>
              <w:t xml:space="preserve">0.09*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E">
            <w:pPr>
              <w:spacing w:line="240" w:lineRule="auto"/>
              <w:jc w:val="center"/>
              <w:rPr/>
            </w:pPr>
            <w:r>
              <w:rPr>
                <w:rFonts w:ascii="Times New Roman" w:cs="Times New Roman" w:eastAsia="Times New Roman" w:hAnsi="Times New Roman"/>
                <w:b w:val="0"/>
                <w:bCs w:val="0"/>
                <w:sz w:val="16"/>
                <w:szCs w:val="16"/>
                <w:rtl w:val="0"/>
              </w:rPr>
              <w:t xml:space="preserve">0.31***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F">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0">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1">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3">
            <w:pPr>
              <w:spacing w:line="240" w:lineRule="auto"/>
              <w:jc w:val="left"/>
              <w:rPr/>
            </w:pPr>
            <w:r>
              <w:rPr>
                <w:rFonts w:ascii="Times New Roman" w:cs="Times New Roman" w:eastAsia="Times New Roman" w:hAnsi="Times New Roman"/>
                <w:b w:val="0"/>
                <w:bCs w:val="0"/>
                <w:sz w:val="16"/>
                <w:szCs w:val="16"/>
                <w:rtl w:val="0"/>
              </w:rPr>
              <w:t xml:space="preserve">5. Firm size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4">
            <w:pPr>
              <w:spacing w:line="240" w:lineRule="auto"/>
              <w:jc w:val="center"/>
              <w:rPr/>
            </w:pPr>
            <w:r>
              <w:rPr>
                <w:rFonts w:ascii="Times New Roman" w:cs="Times New Roman" w:eastAsia="Times New Roman" w:hAnsi="Times New Roman"/>
                <w:b w:val="0"/>
                <w:bCs w:val="0"/>
                <w:sz w:val="16"/>
                <w:szCs w:val="16"/>
                <w:rtl w:val="0"/>
              </w:rPr>
              <w:t xml:space="preserve">-0.04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5">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6">
            <w:pPr>
              <w:spacing w:line="240" w:lineRule="auto"/>
              <w:jc w:val="center"/>
              <w:rPr/>
            </w:pPr>
            <w:r>
              <w:rPr>
                <w:rFonts w:ascii="Times New Roman" w:cs="Times New Roman" w:eastAsia="Times New Roman" w:hAnsi="Times New Roman"/>
                <w:b w:val="0"/>
                <w:bCs w:val="0"/>
                <w:sz w:val="16"/>
                <w:szCs w:val="16"/>
                <w:rtl w:val="0"/>
              </w:rPr>
              <w:t xml:space="preserve">0.34***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7">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8">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B">
            <w:pPr>
              <w:spacing w:line="240" w:lineRule="auto"/>
              <w:jc w:val="left"/>
              <w:rPr/>
            </w:pPr>
            <w:r>
              <w:rPr>
                <w:rFonts w:ascii="Times New Roman" w:cs="Times New Roman" w:eastAsia="Times New Roman" w:hAnsi="Times New Roman"/>
                <w:b w:val="0"/>
                <w:bCs w:val="0"/>
                <w:sz w:val="16"/>
                <w:szCs w:val="16"/>
                <w:rtl w:val="0"/>
              </w:rPr>
              <w:t xml:space="preserve">6. 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C">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D">
            <w:pPr>
              <w:spacing w:line="240" w:lineRule="auto"/>
              <w:jc w:val="center"/>
              <w:rPr/>
            </w:pPr>
            <w:r>
              <w:rPr>
                <w:rFonts w:ascii="Times New Roman" w:cs="Times New Roman" w:eastAsia="Times New Roman" w:hAnsi="Times New Roman"/>
                <w:b w:val="0"/>
                <w:bCs w:val="0"/>
                <w:sz w:val="16"/>
                <w:szCs w:val="16"/>
                <w:rtl w:val="0"/>
              </w:rPr>
              <w:t xml:space="preserve">0.06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E">
            <w:pPr>
              <w:spacing w:line="240" w:lineRule="auto"/>
              <w:jc w:val="center"/>
              <w:rPr/>
            </w:pPr>
            <w:r>
              <w:rPr>
                <w:rFonts w:ascii="Times New Roman" w:cs="Times New Roman" w:eastAsia="Times New Roman" w:hAnsi="Times New Roman"/>
                <w:b w:val="0"/>
                <w:bCs w:val="0"/>
                <w:sz w:val="16"/>
                <w:szCs w:val="16"/>
                <w:rtl w:val="0"/>
              </w:rPr>
              <w:t xml:space="preserve">0.07†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F">
            <w:pPr>
              <w:spacing w:line="240" w:lineRule="auto"/>
              <w:jc w:val="center"/>
              <w:rPr/>
            </w:pPr>
            <w:r>
              <w:rPr>
                <w:rFonts w:ascii="Times New Roman" w:cs="Times New Roman" w:eastAsia="Times New Roman" w:hAnsi="Times New Roman"/>
                <w:b w:val="0"/>
                <w:bCs w:val="0"/>
                <w:sz w:val="16"/>
                <w:szCs w:val="16"/>
                <w:rtl w:val="0"/>
              </w:rPr>
              <w:t xml:space="preserve">0.04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0">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1">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3">
            <w:pPr>
              <w:spacing w:line="240" w:lineRule="auto"/>
              <w:jc w:val="left"/>
              <w:rPr/>
            </w:pPr>
            <w:r>
              <w:rPr>
                <w:rFonts w:ascii="Times New Roman" w:cs="Times New Roman" w:eastAsia="Times New Roman" w:hAnsi="Times New Roman"/>
                <w:b w:val="0"/>
                <w:bCs w:val="0"/>
                <w:sz w:val="16"/>
                <w:szCs w:val="16"/>
                <w:rtl w:val="0"/>
              </w:rPr>
              <w:t xml:space="preserve">7. Foreign-owned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4">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5">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6">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7">
            <w:pPr>
              <w:spacing w:line="240" w:lineRule="auto"/>
              <w:jc w:val="center"/>
              <w:rPr/>
            </w:pPr>
            <w:r>
              <w:rPr>
                <w:rFonts w:ascii="Times New Roman" w:cs="Times New Roman" w:eastAsia="Times New Roman" w:hAnsi="Times New Roman"/>
                <w:b w:val="0"/>
                <w:bCs w:val="0"/>
                <w:sz w:val="16"/>
                <w:szCs w:val="16"/>
                <w:rtl w:val="0"/>
              </w:rPr>
              <w:t xml:space="preserve">0.09*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8">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9">
            <w:pPr>
              <w:spacing w:line="240" w:lineRule="auto"/>
              <w:jc w:val="center"/>
              <w:rPr/>
            </w:pPr>
            <w:r>
              <w:rPr>
                <w:rFonts w:ascii="Times New Roman" w:cs="Times New Roman" w:eastAsia="Times New Roman" w:hAnsi="Times New Roman"/>
                <w:b w:val="0"/>
                <w:bCs w:val="0"/>
                <w:sz w:val="16"/>
                <w:szCs w:val="16"/>
                <w:rtl w:val="0"/>
              </w:rPr>
              <w:t xml:space="preserve">-0.05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A">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r>
    </w:tbl>
    <w:p w:rsidR="00000000" w:rsidDel="00000000" w:rsidP="00000000" w:rsidRDefault="00000000" w:rsidRPr="00000000" w14:paraId="000000CB">
      <w:pPr>
        <w:spacing w:after="60" w:line="480" w:lineRule="auto"/>
        <w:jc w:val="left"/>
        <w:rPr/>
      </w:pPr>
      <w:r>
        <w:rPr>
          <w:rtl w:val="0"/>
        </w:rPr>
      </w:r>
    </w:p>
    <w:p w:rsidR="00000000" w:rsidDel="00000000" w:rsidP="00000000" w:rsidRDefault="00000000" w:rsidRPr="00000000" w14:paraId="000000CC">
      <w:pPr>
        <w:spacing w:after="240" w:line="480" w:lineRule="auto"/>
        <w:jc w:val="left"/>
        <w:rPr/>
      </w:pPr>
      <w:r>
        <w:rPr>
          <w:rFonts w:ascii="Times New Roman" w:cs="Times New Roman" w:eastAsia="Times New Roman" w:hAnsi="Times New Roman"/>
          <w:i w:val="1"/>
          <w:iCs w:val="1"/>
          <w:sz w:val="16"/>
          <w:szCs w:val="16"/>
          <w:rtl w:val="0"/>
        </w:rPr>
        <w:t>Notes: N = 623. TCI and DAI are z-standardized formative composites. FSTS is the share of annual sales accounted for by direct exports. Two-tailed significance levels are reported as follows: p &lt; .10, p &lt; .05, p &lt; .01.</w:t>
      </w:r>
      <w:r>
        <w:rPr>
          <w:rtl w:val="0"/>
        </w:rPr>
      </w:r>
    </w:p>
    <w:p w:rsidR="00000000" w:rsidDel="00000000" w:rsidP="00000000" w:rsidRDefault="00000000" w:rsidRPr="00000000" w14:paraId="000000CD">
      <w:pPr>
        <w:spacing w:after="160" w:before="280" w:lineRule="auto"/>
        <w:jc w:val="left"/>
        <w:rPr/>
      </w:pPr>
      <w:r>
        <w:rPr>
          <w:rFonts w:ascii="Times New Roman" w:cs="Times New Roman" w:eastAsia="Times New Roman" w:hAnsi="Times New Roman"/>
          <w:b w:val="1"/>
          <w:bCs w:val="1"/>
          <w:sz w:val="22"/>
          <w:szCs w:val="22"/>
          <w:rtl w:val="0"/>
        </w:rPr>
        <w:t xml:space="preserve">4.2 The I–P relationship: primarily monotonic with mild curvature</w:t>
      </w:r>
      <w:r>
        <w:rPr>
          <w:rtl w:val="0"/>
        </w:rPr>
      </w:r>
    </w:p>
    <w:p w:rsidR="00000000" w:rsidDel="00000000" w:rsidP="00000000" w:rsidRDefault="00000000" w:rsidRPr="00000000" w14:paraId="000000CE">
      <w:pPr>
        <w:spacing w:after="0" w:line="480" w:lineRule="auto"/>
        <w:ind w:firstLine="720"/>
        <w:jc w:val="both"/>
        <w:rPr/>
      </w:pPr>
      <w:r>
        <w:rPr>
          <w:rFonts w:ascii="Cardo" w:cs="Cardo" w:eastAsia="Cardo" w:hAnsi="Cardo"/>
          <w:sz w:val="20"/>
          <w:szCs w:val="20"/>
          <w:rtl w:val="0"/>
        </w:rPr>
        <w:t>In the baseline quadratic specification (Model M2), the linear FSTS term is positive and statistically significant (β = 2.652, SE = 0.691, p &lt; .001), while the squared FSTS term is negative and only marginally significant (β = −1.705, SE = 0.931, p = .067). The fitted curve therefore implies a turning point at very high export intensity, around FSTS 82.4 on the original scale, but that point lies in a sparsely populated upper tail of the distribution. Because only a small fraction of the sample occupies that upper region, the implied turning point should be treated as descriptive rather than as structurally identified evidence of a conventional inverted-U.</w:t>
      </w:r>
      <w:r>
        <w:rPr>
          <w:rtl w:val="0"/>
        </w:rPr>
      </w:r>
    </w:p>
    <w:p w:rsidR="00000000" w:rsidDel="00000000" w:rsidP="00000000" w:rsidRDefault="00000000" w:rsidRPr="00000000" w14:paraId="000000CE">
      <w:pPr>
        <w:spacing w:after="0" w:line="480" w:lineRule="auto"/>
        <w:ind w:firstLine="720"/>
        <w:jc w:val="both"/>
        <w:rPr/>
      </w:pPr>
      <w:r>
        <w:rPr>
          <w:rFonts w:ascii="Cardo" w:cs="Cardo" w:eastAsia="Cardo" w:hAnsi="Cardo"/>
          <w:sz w:val="20"/>
          <w:szCs w:val="20"/>
          <w:rtl w:val="0"/>
        </w:rPr>
        <w:t>The formal Lind–Mehlum test fails to reject monotonicity, with p = .303. Following the interpretation already developed in the revision package, the internationalization–performance relationship is therefore better characterized as predominantly monotonic positive with mild quadratic curvature within the observed export-intensity range. This framing is important because it qualifies, rather than overturns, the classic nonlinear literature: the right-side decline may exist in principle, but in a digitally mature institutional setting it appears attenuated or shifted into a sparsely populated upper tail.</w:t>
      </w:r>
      <w:r>
        <w:rPr>
          <w:rtl w:val="0"/>
        </w:rPr>
      </w:r>
    </w:p>
    <w:p w:rsidR="00000000" w:rsidDel="00000000" w:rsidP="00000000" w:rsidRDefault="00000000" w:rsidRPr="00000000" w14:paraId="000000CF">
      <w:pPr>
        <w:spacing w:after="160" w:before="280" w:lineRule="auto"/>
        <w:jc w:val="left"/>
        <w:rPr/>
      </w:pPr>
      <w:r>
        <w:rPr>
          <w:rFonts w:ascii="Times New Roman" w:cs="Times New Roman" w:eastAsia="Times New Roman" w:hAnsi="Times New Roman"/>
          <w:b w:val="1"/>
          <w:bCs w:val="1"/>
          <w:sz w:val="22"/>
          <w:szCs w:val="22"/>
          <w:rtl w:val="0"/>
        </w:rPr>
        <w:t>4.3 TCI results</w:t>
      </w:r>
      <w:r>
        <w:rPr>
          <w:rtl w:val="0"/>
        </w:rPr>
      </w:r>
    </w:p>
    <w:p w:rsidR="00000000" w:rsidDel="00000000" w:rsidP="00000000" w:rsidRDefault="00000000" w:rsidRPr="00000000" w14:paraId="000000D0">
      <w:pPr>
        <w:spacing w:after="0" w:line="480" w:lineRule="auto"/>
        <w:ind w:firstLine="720"/>
        <w:jc w:val="both"/>
        <w:rPr/>
      </w:pPr>
      <w:r>
        <w:rPr>
          <w:rFonts w:ascii="Times New Roman" w:cs="Times New Roman" w:eastAsia="Times New Roman" w:hAnsi="Times New Roman"/>
          <w:sz w:val="20"/>
          <w:szCs w:val="20"/>
          <w:rtl w:val="0"/>
        </w:rPr>
        <w:t>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rPr>
          <w:rtl w:val="0"/>
        </w:rPr>
      </w:r>
    </w:p>
    <w:p w:rsidR="00000000" w:rsidDel="00000000" w:rsidP="00000000" w:rsidRDefault="00000000" w:rsidRPr="00000000" w14:paraId="000000D0">
      <w:pPr>
        <w:spacing w:after="0" w:line="480" w:lineRule="auto"/>
        <w:ind w:firstLine="720"/>
        <w:jc w:val="both"/>
        <w:rPr/>
      </w:pPr>
      <w:r>
        <w:rPr>
          <w:rFonts w:ascii="Times New Roman" w:cs="Times New Roman" w:eastAsia="Times New Roman" w:hAnsi="Times New Roman"/>
          <w:sz w:val="20"/>
          <w:szCs w:val="20"/>
          <w:rtl w:val="0"/>
        </w:rPr>
        <w:t>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The manuscript therefore should interpret TCI primarily as a level-shift effect on the productivity intercept rather than as a curvature-shaping moderator of the internationalization–performance relationship. This is also the most coherent reading for hypothesis development, because it preserves the distinction between internal capability depth and export-contingent digital complementarity.</w:t>
      </w:r>
      <w:r>
        <w:rPr>
          <w:rtl w:val="0"/>
        </w:rPr>
      </w:r>
    </w:p>
    <w:p w:rsidR="00000000" w:rsidDel="00000000" w:rsidP="00000000" w:rsidRDefault="00000000" w:rsidRPr="00000000" w14:paraId="000000D1">
      <w:pPr>
        <w:spacing w:after="160" w:before="280" w:lineRule="auto"/>
        <w:jc w:val="left"/>
        <w:rPr/>
      </w:pPr>
      <w:r>
        <w:rPr>
          <w:rFonts w:ascii="Times New Roman" w:cs="Times New Roman" w:eastAsia="Times New Roman" w:hAnsi="Times New Roman"/>
          <w:b w:val="1"/>
          <w:bCs w:val="1"/>
          <w:sz w:val="22"/>
          <w:szCs w:val="22"/>
          <w:rtl w:val="0"/>
        </w:rPr>
        <w:t>4.4 DAI results</w:t>
      </w:r>
      <w:r>
        <w:rPr>
          <w:rtl w:val="0"/>
        </w:rPr>
      </w:r>
    </w:p>
    <w:p w:rsidR="00000000" w:rsidDel="00000000" w:rsidP="00000000" w:rsidRDefault="00000000" w:rsidRPr="00000000" w14:paraId="000000D2">
      <w:pPr>
        <w:spacing w:after="0" w:line="480" w:lineRule="auto"/>
        <w:ind w:firstLine="720"/>
        <w:jc w:val="both"/>
        <w:rPr/>
      </w:pPr>
      <w:r>
        <w:rPr>
          <w:rFonts w:ascii="Times New Roman" w:cs="Times New Roman" w:eastAsia="Times New Roman" w:hAnsi="Times New Roman"/>
          <w:sz w:val="20"/>
          <w:szCs w:val="20"/>
          <w:rtl w:val="0"/>
        </w:rPr>
        <w:t>In the direct-effect model for digital adoption (Model M6), DAI is positively associated with labour productivity (β = 0.104, SE = 0.038, p = .007). However, once TCI is included alongside DAI in Model M7, the DAI coefficient attenuates to β =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rPr>
          <w:rtl w:val="0"/>
        </w:rPr>
      </w:r>
    </w:p>
    <w:p w:rsidR="00000000" w:rsidDel="00000000" w:rsidP="00000000" w:rsidRDefault="00000000" w:rsidRPr="00000000" w14:paraId="000000D3">
      <w:pPr>
        <w:spacing w:after="60" w:line="480" w:lineRule="auto"/>
        <w:jc w:val="left"/>
        <w:rPr/>
      </w:pPr>
      <w:r>
        <w:rPr>
          <w:rFonts w:ascii="Times New Roman" w:cs="Times New Roman" w:eastAsia="Times New Roman" w:hAnsi="Times New Roman"/>
          <w:b w:val="1"/>
          <w:bCs w:val="1"/>
          <w:sz w:val="20"/>
          <w:szCs w:val="20"/>
          <w:rtl w:val="0"/>
        </w:rPr>
        <w:t xml:space="preserve">Table 2. Hierarchical OLS regression results — Singapore 2023.</w:t>
      </w:r>
      <w:r>
        <w:rPr>
          <w:rtl w:val="0"/>
        </w:rPr>
      </w:r>
    </w:p>
    <w:p w:rsidR="00000000" w:rsidDel="00000000" w:rsidP="00000000" w:rsidRDefault="00000000" w:rsidRPr="00000000" w14:paraId="000000D4">
      <w:pPr>
        <w:spacing w:after="120" w:line="480" w:lineRule="auto"/>
        <w:jc w:val="left"/>
        <w:rPr/>
      </w:pPr>
      <w:r>
        <w:rPr>
          <w:rFonts w:ascii="Times New Roman" w:cs="Times New Roman" w:eastAsia="Times New Roman" w:hAnsi="Times New Roman"/>
          <w:i w:val="1"/>
          <w:iCs w:val="1"/>
          <w:sz w:val="16"/>
          <w:szCs w:val="16"/>
          <w:rtl w:val="0"/>
        </w:rPr>
        <w:t xml:space="preserve">DV: Ln(Labour Productivity). HC1 robust standard errors in parentheses.</w:t>
      </w:r>
      <w:r>
        <w:rPr>
          <w:rtl w:val="0"/>
        </w:rPr>
      </w:r>
    </w:p>
    <w:tbl>
      <w:tblPr>
        <w:tblStyle w:val="Table2"/>
        <w:tblW w:w="79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20"/>
        <w:gridCol w:w="900"/>
        <w:gridCol w:w="900"/>
        <w:gridCol w:w="900"/>
        <w:gridCol w:w="900"/>
        <w:gridCol w:w="900"/>
        <w:gridCol w:w="900"/>
        <w:gridCol w:w="900"/>
        <w:tblGridChange w:id="0">
          <w:tblGrid>
            <w:gridCol w:w="1620"/>
            <w:gridCol w:w="900"/>
            <w:gridCol w:w="900"/>
            <w:gridCol w:w="900"/>
            <w:gridCol w:w="900"/>
            <w:gridCol w:w="900"/>
            <w:gridCol w:w="900"/>
            <w:gridCol w:w="9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5">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6">
            <w:pPr>
              <w:spacing w:line="240" w:lineRule="auto"/>
              <w:jc w:val="center"/>
              <w:rPr/>
            </w:pPr>
            <w:r>
              <w:rPr>
                <w:rFonts w:ascii="Times New Roman" w:cs="Times New Roman" w:eastAsia="Times New Roman" w:hAnsi="Times New Roman"/>
                <w:b w:val="1"/>
                <w:bCs w:val="1"/>
                <w:sz w:val="16"/>
                <w:szCs w:val="16"/>
                <w:rtl w:val="0"/>
              </w:rPr>
              <w:t xml:space="preserve">M0Ctrl</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7">
            <w:pPr>
              <w:spacing w:line="240" w:lineRule="auto"/>
              <w:jc w:val="center"/>
              <w:rPr/>
            </w:pPr>
            <w:r>
              <w:rPr>
                <w:rFonts w:ascii="Times New Roman" w:cs="Times New Roman" w:eastAsia="Times New Roman" w:hAnsi="Times New Roman"/>
                <w:b w:val="1"/>
                <w:bCs w:val="1"/>
                <w:sz w:val="16"/>
                <w:szCs w:val="16"/>
                <w:rtl w:val="0"/>
              </w:rPr>
              <w:t xml:space="preserve">M2Inv-U</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8">
            <w:pPr>
              <w:spacing w:line="240" w:lineRule="auto"/>
              <w:jc w:val="center"/>
              <w:rPr/>
            </w:pPr>
            <w:r>
              <w:rPr>
                <w:rFonts w:ascii="Times New Roman" w:cs="Times New Roman" w:eastAsia="Times New Roman" w:hAnsi="Times New Roman"/>
                <w:b w:val="1"/>
                <w:bCs w:val="1"/>
                <w:sz w:val="16"/>
                <w:szCs w:val="16"/>
                <w:rtl w:val="0"/>
              </w:rPr>
              <w:t xml:space="preserve">M5+TCI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9">
            <w:pPr>
              <w:spacing w:line="240" w:lineRule="auto"/>
              <w:jc w:val="center"/>
              <w:rPr/>
            </w:pPr>
            <w:r>
              <w:rPr>
                <w:rFonts w:ascii="Times New Roman" w:cs="Times New Roman" w:eastAsia="Times New Roman" w:hAnsi="Times New Roman"/>
                <w:b w:val="1"/>
                <w:bCs w:val="1"/>
                <w:sz w:val="16"/>
                <w:szCs w:val="16"/>
                <w:rtl w:val="0"/>
              </w:rPr>
              <w:t xml:space="preserve">M6+DAI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A">
            <w:pPr>
              <w:spacing w:line="240" w:lineRule="auto"/>
              <w:jc w:val="center"/>
              <w:rPr/>
            </w:pPr>
            <w:r>
              <w:rPr>
                <w:rFonts w:ascii="Times New Roman" w:cs="Times New Roman" w:eastAsia="Times New Roman" w:hAnsi="Times New Roman"/>
                <w:b w:val="1"/>
                <w:bCs w:val="1"/>
                <w:sz w:val="16"/>
                <w:szCs w:val="16"/>
                <w:rtl w:val="0"/>
              </w:rPr>
              <w:t xml:space="preserve">M7T+D</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B">
            <w:pPr>
              <w:spacing w:line="240" w:lineRule="auto"/>
              <w:jc w:val="center"/>
              <w:rPr/>
            </w:pPr>
            <w:r>
              <w:rPr>
                <w:rFonts w:ascii="Times New Roman" w:cs="Times New Roman" w:eastAsia="Times New Roman" w:hAnsi="Times New Roman"/>
                <w:b w:val="1"/>
                <w:bCs w:val="1"/>
                <w:sz w:val="16"/>
                <w:szCs w:val="16"/>
                <w:rtl w:val="0"/>
              </w:rPr>
              <w:t xml:space="preserve">M4DAI×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C">
            <w:pPr>
              <w:spacing w:line="240" w:lineRule="auto"/>
              <w:jc w:val="center"/>
              <w:rPr/>
            </w:pPr>
            <w:r>
              <w:rPr>
                <w:rFonts w:ascii="Times New Roman" w:cs="Times New Roman" w:eastAsia="Times New Roman" w:hAnsi="Times New Roman"/>
                <w:b w:val="1"/>
                <w:bCs w:val="1"/>
                <w:sz w:val="16"/>
                <w:szCs w:val="16"/>
                <w:rtl w:val="0"/>
              </w:rPr>
              <w:t xml:space="preserve">M8Full</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DD">
            <w:pPr>
              <w:spacing w:line="240" w:lineRule="auto"/>
              <w:jc w:val="left"/>
              <w:rPr/>
            </w:pPr>
            <w:r>
              <w:rPr>
                <w:rFonts w:ascii="Times New Roman" w:cs="Times New Roman" w:eastAsia="Times New Roman" w:hAnsi="Times New Roman"/>
                <w:b w:val="1"/>
                <w:bCs w:val="1"/>
                <w:sz w:val="16"/>
                <w:szCs w:val="16"/>
                <w:rtl w:val="0"/>
              </w:rPr>
              <w:t xml:space="preserve">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+2.652***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+2.165**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+2.322***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+1.952**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+2.768***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+2.409**</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(0.691)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(0.699)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(0.701)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(0.750)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(0.748)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D">
            <w:pPr>
              <w:spacing w:line="240" w:lineRule="auto"/>
              <w:jc w:val="left"/>
              <w:rPr/>
            </w:pPr>
            <w:r>
              <w:rPr>
                <w:rFonts w:ascii="Times New Roman" w:cs="Times New Roman" w:eastAsia="Times New Roman" w:hAnsi="Times New Roman"/>
                <w:b w:val="1"/>
                <w:bCs w:val="1"/>
                <w:sz w:val="16"/>
                <w:szCs w:val="16"/>
                <w:rtl w:val="0"/>
              </w:rPr>
              <w:t xml:space="preserve">FSTS²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-1.705†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-1.389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-0.965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-2.959**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-2.543*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(0.931)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(0.940)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(0.928)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(0.938)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(1.012)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(1.045)</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D">
            <w:pPr>
              <w:spacing w:line="240" w:lineRule="auto"/>
              <w:jc w:val="left"/>
              <w:rPr/>
            </w:pPr>
            <w:r>
              <w:rPr>
                <w:rFonts w:ascii="Times New Roman" w:cs="Times New Roman" w:eastAsia="Times New Roman" w:hAnsi="Times New Roman"/>
                <w:b w:val="1"/>
                <w:bCs w:val="1"/>
                <w:sz w:val="16"/>
                <w:szCs w:val="16"/>
                <w:rtl w:val="0"/>
              </w:rPr>
              <w:t xml:space="preserve">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+0.153***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+0.153***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(0.041)</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D">
            <w:pPr>
              <w:spacing w:line="240" w:lineRule="auto"/>
              <w:jc w:val="left"/>
              <w:rPr/>
            </w:pPr>
            <w:r>
              <w:rPr>
                <w:rFonts w:ascii="Times New Roman" w:cs="Times New Roman" w:eastAsia="Times New Roman" w:hAnsi="Times New Roman"/>
                <w:b w:val="1"/>
                <w:bCs w:val="1"/>
                <w:sz w:val="16"/>
                <w:szCs w:val="16"/>
                <w:rtl w:val="0"/>
              </w:rPr>
              <w:t xml:space="preserve">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+0.104**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+0.019</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(0.038)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(0.038)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(0.045)</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D">
            <w:pPr>
              <w:spacing w:line="240" w:lineRule="auto"/>
              <w:jc w:val="left"/>
              <w:rPr/>
            </w:pPr>
            <w:r>
              <w:rPr>
                <w:rFonts w:ascii="Times New Roman" w:cs="Times New Roman" w:eastAsia="Times New Roman" w:hAnsi="Times New Roman"/>
                <w:b w:val="1"/>
                <w:bCs w:val="1"/>
                <w:sz w:val="16"/>
                <w:szCs w:val="16"/>
                <w:rtl w:val="0"/>
              </w:rPr>
              <w:t xml:space="preserve">FSTS × DAI</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-1.144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-1.167†</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(0.702)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(0.686)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D">
            <w:pPr>
              <w:spacing w:line="240" w:lineRule="auto"/>
              <w:jc w:val="left"/>
              <w:rPr/>
            </w:pPr>
            <w:r>
              <w:rPr>
                <w:rFonts w:ascii="Times New Roman" w:cs="Times New Roman" w:eastAsia="Times New Roman" w:hAnsi="Times New Roman"/>
                <w:b w:val="1"/>
                <w:bCs w:val="1"/>
                <w:sz w:val="16"/>
                <w:szCs w:val="16"/>
                <w:rtl w:val="0"/>
              </w:rPr>
              <w:t xml:space="preserve">FSTS² × DAI</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+3.098**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+3.119**</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(1.088)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(1.124)</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D">
            <w:pPr>
              <w:spacing w:line="240" w:lineRule="auto"/>
              <w:jc w:val="left"/>
              <w:rPr/>
            </w:pPr>
            <w:r>
              <w:rPr>
                <w:rFonts w:ascii="Times New Roman" w:cs="Times New Roman" w:eastAsia="Times New Roman" w:hAnsi="Times New Roman"/>
                <w:b w:val="1"/>
                <w:bCs w:val="1"/>
                <w:sz w:val="16"/>
                <w:szCs w:val="16"/>
                <w:rtl w:val="0"/>
              </w:rPr>
              <w:t xml:space="preserve">Firm size (ln)</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-0.135***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-0.168***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5">
            <w:pPr>
              <w:spacing w:line="240" w:lineRule="auto"/>
              <w:jc w:val="left"/>
              <w:rPr/>
            </w:pPr>
            <w:r>
              <w:rPr>
                <w:rFonts w:ascii="Times New Roman" w:cs="Times New Roman" w:eastAsia="Times New Roman" w:hAnsi="Times New Roman"/>
                <w:b w:val="1"/>
                <w:bCs w:val="1"/>
                <w:sz w:val="16"/>
                <w:szCs w:val="16"/>
                <w:rtl w:val="0"/>
              </w:rPr>
              <w:t xml:space="preserve">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D">
            <w:pPr>
              <w:spacing w:line="240" w:lineRule="auto"/>
              <w:jc w:val="left"/>
              <w:rPr/>
            </w:pPr>
            <w:r>
              <w:rPr>
                <w:rFonts w:ascii="Times New Roman" w:cs="Times New Roman" w:eastAsia="Times New Roman" w:hAnsi="Times New Roman"/>
                <w:b w:val="1"/>
                <w:bCs w:val="1"/>
                <w:sz w:val="16"/>
                <w:szCs w:val="16"/>
                <w:rtl w:val="0"/>
              </w:rPr>
              <w:t xml:space="preserve">Foreign-owned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+0.407***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+0.293***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+0.294**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+0.298***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+0.284**</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5">
            <w:pPr>
              <w:spacing w:line="240" w:lineRule="auto"/>
              <w:jc w:val="left"/>
              <w:rPr/>
            </w:pPr>
            <w:r>
              <w:rPr>
                <w:rFonts w:ascii="Times New Roman" w:cs="Times New Roman" w:eastAsia="Times New Roman" w:hAnsi="Times New Roman"/>
                <w:b w:val="1"/>
                <w:bCs w:val="1"/>
                <w:sz w:val="16"/>
                <w:szCs w:val="16"/>
                <w:rtl w:val="0"/>
              </w:rPr>
              <w:t xml:space="preserve">Sector FE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D">
            <w:pPr>
              <w:spacing w:line="240" w:lineRule="auto"/>
              <w:jc w:val="left"/>
              <w:rPr/>
            </w:pPr>
            <w:r>
              <w:rPr>
                <w:rFonts w:ascii="Times New Roman" w:cs="Times New Roman" w:eastAsia="Times New Roman" w:hAnsi="Times New Roman"/>
                <w:b w:val="1"/>
                <w:bCs w:val="1"/>
                <w:sz w:val="16"/>
                <w:szCs w:val="16"/>
                <w:rtl w:val="0"/>
              </w:rPr>
              <w:t xml:space="preserve">Constant</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+10.958***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+11.157***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+11.345***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+11.199***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+11.361***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+11.190***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+11.353***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5">
            <w:pPr>
              <w:spacing w:line="240" w:lineRule="auto"/>
              <w:jc w:val="left"/>
              <w:rPr/>
            </w:pPr>
            <w:r>
              <w:rPr>
                <w:rFonts w:ascii="Times New Roman" w:cs="Times New Roman" w:eastAsia="Times New Roman" w:hAnsi="Times New Roman"/>
                <w:b w:val="1"/>
                <w:bCs w:val="1"/>
                <w:sz w:val="16"/>
                <w:szCs w:val="16"/>
                <w:rtl w:val="0"/>
              </w:rPr>
              <w:t xml:space="preserve">N</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623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623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623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D">
            <w:pPr>
              <w:spacing w:line="240" w:lineRule="auto"/>
              <w:jc w:val="left"/>
              <w:rPr/>
            </w:pPr>
            <w:r>
              <w:rPr>
                <w:rFonts w:ascii="Times New Roman" w:cs="Times New Roman" w:eastAsia="Times New Roman" w:hAnsi="Times New Roman"/>
                <w:b w:val="1"/>
                <w:bCs w:val="1"/>
                <w:sz w:val="16"/>
                <w:szCs w:val="16"/>
                <w:rtl w:val="0"/>
              </w:rPr>
              <w:t xml:space="preserve">R²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0.202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0.211</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5">
            <w:pPr>
              <w:spacing w:line="240" w:lineRule="auto"/>
              <w:jc w:val="left"/>
              <w:rPr/>
            </w:pPr>
            <w:r>
              <w:rPr>
                <w:rFonts w:ascii="Times New Roman" w:cs="Times New Roman" w:eastAsia="Times New Roman" w:hAnsi="Times New Roman"/>
                <w:b w:val="1"/>
                <w:bCs w:val="1"/>
                <w:sz w:val="16"/>
                <w:szCs w:val="16"/>
                <w:rtl w:val="0"/>
              </w:rPr>
              <w:t xml:space="preserve">Adj. R²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0.196</w:t>
            </w:r>
          </w:p>
        </w:tc>
      </w:tr>
    </w:tbl>
    <w:p w:rsidR="00000000" w:rsidDel="00000000" w:rsidP="00000000" w:rsidRDefault="00000000" w:rsidRPr="00000000" w14:paraId="0000017D">
      <w:pPr>
        <w:spacing w:after="60" w:line="480" w:lineRule="auto"/>
        <w:jc w:val="left"/>
        <w:rPr/>
      </w:pPr>
      <w:r>
        <w:rPr>
          <w:rtl w:val="0"/>
        </w:rPr>
      </w:r>
    </w:p>
    <w:p w:rsidR="00000000" w:rsidDel="00000000" w:rsidP="00000000" w:rsidRDefault="00000000" w:rsidRPr="00000000" w14:paraId="0000017E">
      <w:pPr>
        <w:spacing w:after="240" w:line="480" w:lineRule="auto"/>
        <w:jc w:val="left"/>
        <w:rPr/>
      </w:pPr>
      <w:r>
        <w:rPr>
          <w:rFonts w:ascii="Times New Roman" w:cs="Times New Roman" w:eastAsia="Times New Roman" w:hAnsi="Times New Roman"/>
          <w:i w:val="1"/>
          <w:iCs w:val="1"/>
          <w:sz w:val="16"/>
          <w:szCs w:val="16"/>
          <w:rtl w:val="0"/>
        </w:rPr>
        <w:t>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rPr>
          <w:rtl w:val="0"/>
        </w:rPr>
      </w:r>
    </w:p>
    <w:p w:rsidR="00000000" w:rsidDel="00000000" w:rsidP="00000000" w:rsidRDefault="00000000" w:rsidRPr="00000000" w14:paraId="0000017F">
      <w:pPr>
        <w:spacing w:after="0" w:line="480" w:lineRule="auto"/>
        <w:ind w:firstLine="720"/>
        <w:jc w:val="both"/>
        <w:rPr/>
      </w:pPr>
      <w:r>
        <w:rPr>
          <w:rFonts w:ascii="Times New Roman" w:cs="Times New Roman" w:eastAsia="Times New Roman" w:hAnsi="Times New Roman"/>
          <w:sz w:val="20"/>
          <w:szCs w:val="20"/>
          <w:rtl w:val="0"/>
        </w:rPr>
        <w:t>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rPr>
          <w:rtl w:val="0"/>
        </w:rPr>
      </w:r>
    </w:p>
    <w:p w:rsidR="00000000" w:rsidDel="00000000" w:rsidP="00000000" w:rsidRDefault="00000000" w:rsidRPr="00000000" w14:paraId="0000017F">
      <w:pPr>
        <w:spacing w:after="0" w:line="480" w:lineRule="auto"/>
        <w:ind w:firstLine="720"/>
        <w:jc w:val="both"/>
        <w:rPr/>
      </w:pPr>
      <w:r>
        <w:rPr>
          <w:rFonts w:ascii="Times New Roman" w:cs="Times New Roman" w:eastAsia="Times New Roman" w:hAnsi="Times New Roman"/>
          <w:sz w:val="20"/>
          <w:szCs w:val="20"/>
          <w:rtl w:val="0"/>
        </w:rPr>
        <w:t>The strongest evidence for DAI appears in the moderation specifications. In the full model (Model M8), the direct DAI term is small and not statistically significant (β = 0.019, p = .705), the linear interaction with FSTS is negative and marginal (β = −1.177, p = .083), and the quadratic interaction term is positive and statistically significant (β = 3.118, SE = 1.117, p = .005). Model M8 also produces the highest explanatory power among the main specifications, with R² = 0.213 and adjusted R² = 0.199. Read substantively, these estimates indicate that the productivity relevance of digital adoption becomes more positive at higher levels of export intensity, with the clearest signal concentrated in the high-export tail rather than distributed uniformly across the sample.</w:t>
      </w:r>
      <w:r>
        <w:rPr>
          <w:rtl w:val="0"/>
        </w:rPr>
      </w:r>
    </w:p>
    <w:p w:rsidR="00000000" w:rsidDel="00000000" w:rsidP="00000000" w:rsidRDefault="00000000" w:rsidRPr="00000000" w14:paraId="00000180">
      <w:pPr>
        <w:spacing w:after="120" w:line="480" w:lineRule="auto"/>
        <w:jc w:val="left"/>
        <w:rPr/>
      </w:pPr>
      <w:r>
        <w:rPr>
          <w:rFonts w:ascii="Times New Roman" w:cs="Times New Roman" w:eastAsia="Times New Roman" w:hAnsi="Times New Roman"/>
          <w:b w:val="1"/>
          <w:bCs w:val="1"/>
          <w:sz w:val="20"/>
          <w:szCs w:val="20"/>
          <w:rtl w:val="0"/>
        </w:rPr>
        <w:t xml:space="preserve">Table 4. Marginal effects of DAI across selected FSTS levels (from Model M8).</w:t>
      </w:r>
      <w:r>
        <w:rPr>
          <w:rtl w:val="0"/>
        </w:rPr>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800"/>
        <w:gridCol w:w="1800"/>
        <w:gridCol w:w="1800"/>
        <w:gridCol w:w="1800"/>
        <w:tblGridChange w:id="0">
          <w:tblGrid>
            <w:gridCol w:w="1800"/>
            <w:gridCol w:w="1800"/>
            <w:gridCol w:w="1800"/>
            <w:gridCol w:w="1800"/>
            <w:gridCol w:w="18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1">
            <w:pPr>
              <w:spacing w:line="240" w:lineRule="auto"/>
              <w:jc w:val="center"/>
              <w:rPr/>
            </w:pPr>
            <w:r>
              <w:rPr>
                <w:rFonts w:ascii="Times New Roman" w:cs="Times New Roman" w:eastAsia="Times New Roman" w:hAnsi="Times New Roman"/>
                <w:b w:val="1"/>
                <w:bCs w:val="1"/>
                <w:sz w:val="16"/>
                <w:szCs w:val="16"/>
                <w:rtl w:val="0"/>
              </w:rPr>
              <w:t xml:space="preserve">FSTS level</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2">
            <w:pPr>
              <w:spacing w:line="240" w:lineRule="auto"/>
              <w:jc w:val="center"/>
              <w:rPr/>
            </w:pPr>
            <w:r>
              <w:rPr>
                <w:rFonts w:ascii="Times New Roman" w:cs="Times New Roman" w:eastAsia="Times New Roman" w:hAnsi="Times New Roman"/>
                <w:b w:val="1"/>
                <w:bCs w:val="1"/>
                <w:sz w:val="16"/>
                <w:szCs w:val="16"/>
                <w:rtl w:val="0"/>
              </w:rPr>
              <w:t xml:space="preserve">Marginal effect of 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3">
            <w:pPr>
              <w:spacing w:line="240" w:lineRule="auto"/>
              <w:jc w:val="center"/>
              <w:rPr/>
            </w:pPr>
            <w:r>
              <w:rPr>
                <w:rFonts w:ascii="Times New Roman" w:cs="Times New Roman" w:eastAsia="Times New Roman" w:hAnsi="Times New Roman"/>
                <w:b w:val="1"/>
                <w:bCs w:val="1"/>
                <w:sz w:val="16"/>
                <w:szCs w:val="16"/>
                <w:rtl w:val="0"/>
              </w:rPr>
              <w:t xml:space="preserve">SE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4">
            <w:pPr>
              <w:spacing w:line="240" w:lineRule="auto"/>
              <w:jc w:val="center"/>
              <w:rPr/>
            </w:pPr>
            <w:r>
              <w:rPr>
                <w:rFonts w:ascii="Times New Roman" w:cs="Times New Roman" w:eastAsia="Times New Roman" w:hAnsi="Times New Roman"/>
                <w:b w:val="1"/>
                <w:bCs w:val="1"/>
                <w:sz w:val="16"/>
                <w:szCs w:val="16"/>
                <w:rtl w:val="0"/>
              </w:rPr>
              <w:t xml:space="preserve">p-value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5">
            <w:pPr>
              <w:spacing w:line="240" w:lineRule="auto"/>
              <w:jc w:val="center"/>
              <w:rPr/>
            </w:pPr>
            <w:r>
              <w:rPr>
                <w:rFonts w:ascii="Times New Roman" w:cs="Times New Roman" w:eastAsia="Times New Roman" w:hAnsi="Times New Roman"/>
                <w:b w:val="1"/>
                <w:bCs w:val="1"/>
                <w:sz w:val="16"/>
                <w:szCs w:val="16"/>
                <w:rtl w:val="0"/>
              </w:rPr>
              <w:t xml:space="preserve">95% CI</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6">
            <w:pPr>
              <w:spacing w:line="240" w:lineRule="auto"/>
              <w:jc w:val="left"/>
              <w:rPr/>
            </w:pPr>
            <w:r>
              <w:rPr>
                <w:rFonts w:ascii="Times New Roman" w:cs="Times New Roman" w:eastAsia="Times New Roman" w:hAnsi="Times New Roman"/>
                <w:b w:val="0"/>
                <w:bCs w:val="0"/>
                <w:sz w:val="16"/>
                <w:szCs w:val="16"/>
                <w:rtl w:val="0"/>
              </w:rPr>
              <w:t xml:space="preserve">FSTS = 0% (domestic)</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+0.080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[+0.002, +0.158]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B">
            <w:pPr>
              <w:spacing w:line="240" w:lineRule="auto"/>
              <w:jc w:val="left"/>
              <w:rPr/>
            </w:pPr>
            <w:r>
              <w:rPr>
                <w:rFonts w:ascii="Times New Roman" w:cs="Times New Roman" w:eastAsia="Times New Roman" w:hAnsi="Times New Roman"/>
                <w:b w:val="0"/>
                <w:bCs w:val="0"/>
                <w:sz w:val="16"/>
                <w:szCs w:val="16"/>
                <w:rtl w:val="0"/>
              </w:rPr>
              <w:t xml:space="preserve">FSTS = 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.752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[-0.077, +0.106]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0">
            <w:pPr>
              <w:spacing w:line="240" w:lineRule="auto"/>
              <w:jc w:val="left"/>
              <w:rPr/>
            </w:pPr>
            <w:r>
              <w:rPr>
                <w:rFonts w:ascii="Times New Roman" w:cs="Times New Roman" w:eastAsia="Times New Roman" w:hAnsi="Times New Roman"/>
                <w:b w:val="1"/>
                <w:bCs w:val="1"/>
                <w:sz w:val="16"/>
                <w:szCs w:val="16"/>
                <w:rtl w:val="0"/>
              </w:rPr>
              <w:t xml:space="preserve">FSTS = 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-0.035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0.069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[-0.170, +0.101]</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5">
            <w:pPr>
              <w:spacing w:line="240" w:lineRule="auto"/>
              <w:jc w:val="left"/>
              <w:rPr/>
            </w:pPr>
            <w:r>
              <w:rPr>
                <w:rFonts w:ascii="Times New Roman" w:cs="Times New Roman" w:eastAsia="Times New Roman" w:hAnsi="Times New Roman"/>
                <w:b w:val="0"/>
                <w:bCs w:val="0"/>
                <w:sz w:val="16"/>
                <w:szCs w:val="16"/>
                <w:rtl w:val="0"/>
              </w:rPr>
              <w:t xml:space="preserve">FSTS = 15%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-0.069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0.093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.459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[-0.250, +0.113]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A">
            <w:pPr>
              <w:spacing w:line="240" w:lineRule="auto"/>
              <w:jc w:val="left"/>
              <w:rPr/>
            </w:pPr>
            <w:r>
              <w:rPr>
                <w:rFonts w:ascii="Times New Roman" w:cs="Times New Roman" w:eastAsia="Times New Roman" w:hAnsi="Times New Roman"/>
                <w:b w:val="0"/>
                <w:bCs w:val="0"/>
                <w:sz w:val="16"/>
                <w:szCs w:val="16"/>
                <w:rtl w:val="0"/>
              </w:rPr>
              <w:t xml:space="preserve">FSTS = 20%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-0.087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0.113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.444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[-0.309, +0.135]</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F">
            <w:pPr>
              <w:spacing w:line="240" w:lineRule="auto"/>
              <w:jc w:val="left"/>
              <w:rPr/>
            </w:pPr>
            <w:r>
              <w:rPr>
                <w:rFonts w:ascii="Times New Roman" w:cs="Times New Roman" w:eastAsia="Times New Roman" w:hAnsi="Times New Roman"/>
                <w:b w:val="1"/>
                <w:bCs w:val="1"/>
                <w:sz w:val="16"/>
                <w:szCs w:val="16"/>
                <w:rtl w:val="0"/>
              </w:rPr>
              <w:t xml:space="preserve">FSTS = 30%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.598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[-0.361, +0.208]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4">
            <w:pPr>
              <w:spacing w:line="240" w:lineRule="auto"/>
              <w:jc w:val="left"/>
              <w:rPr/>
            </w:pPr>
            <w:r>
              <w:rPr>
                <w:rFonts w:ascii="Times New Roman" w:cs="Times New Roman" w:eastAsia="Times New Roman" w:hAnsi="Times New Roman"/>
                <w:b w:val="1"/>
                <w:bCs w:val="1"/>
                <w:sz w:val="16"/>
                <w:szCs w:val="16"/>
                <w:rtl w:val="0"/>
              </w:rPr>
              <w:t xml:space="preserve">FSTS = 50%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+0.131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.481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[-0.234, +0.496]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9">
            <w:pPr>
              <w:spacing w:line="240" w:lineRule="auto"/>
              <w:jc w:val="left"/>
              <w:rPr/>
            </w:pPr>
            <w:r>
              <w:rPr>
                <w:rFonts w:ascii="Times New Roman" w:cs="Times New Roman" w:eastAsia="Times New Roman" w:hAnsi="Times New Roman"/>
                <w:b w:val="1"/>
                <w:bCs w:val="1"/>
                <w:sz w:val="16"/>
                <w:szCs w:val="16"/>
                <w:rtl w:val="0"/>
              </w:rPr>
              <w:t xml:space="preserve">FSTS = 70%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+0.588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0.262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[+0.074, +1.102]</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E">
            <w:pPr>
              <w:spacing w:line="240" w:lineRule="auto"/>
              <w:jc w:val="left"/>
              <w:rPr/>
            </w:pPr>
            <w:r>
              <w:rPr>
                <w:rFonts w:ascii="Times New Roman" w:cs="Times New Roman" w:eastAsia="Times New Roman" w:hAnsi="Times New Roman"/>
                <w:b w:val="1"/>
                <w:bCs w:val="1"/>
                <w:sz w:val="16"/>
                <w:szCs w:val="16"/>
                <w:rtl w:val="0"/>
              </w:rPr>
              <w:t xml:space="preserve">FSTS = 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+1.742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0.573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[+0.618, +2.865]</w:t>
            </w:r>
          </w:p>
        </w:tc>
      </w:tr>
    </w:tbl>
    <w:p w:rsidR="00000000" w:rsidDel="00000000" w:rsidP="00000000" w:rsidRDefault="00000000" w:rsidRPr="00000000" w14:paraId="000001B3">
      <w:pPr>
        <w:spacing w:after="60" w:line="480" w:lineRule="auto"/>
        <w:jc w:val="left"/>
        <w:rPr/>
      </w:pPr>
      <w:r>
        <w:rPr>
          <w:rtl w:val="0"/>
        </w:rPr>
      </w:r>
    </w:p>
    <w:p w:rsidR="00000000" w:rsidDel="00000000" w:rsidP="00000000" w:rsidRDefault="00000000" w:rsidRPr="00000000" w14:paraId="000001B4">
      <w:pPr>
        <w:spacing w:after="240" w:line="480" w:lineRule="auto"/>
        <w:jc w:val="left"/>
        <w:rPr/>
      </w:pPr>
      <w:r>
        <w:rPr>
          <w:rFonts w:ascii="Times New Roman" w:cs="Times New Roman" w:eastAsia="Times New Roman" w:hAnsi="Times New Roman"/>
          <w:i w:val="1"/>
          <w:iCs w:val="1"/>
          <w:sz w:val="16"/>
          <w:szCs w:val="16"/>
          <w:rtl w:val="0"/>
        </w:rPr>
        <w:t>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Table 4 and Figure 2 translate the interaction estimates from Model M8 into substantively interpretable marginal effects across the export-intensity distribution. Across domestic, low-export, and much of the middle export range, the marginal effect of DAI is small and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0.588 at FSTS 70 and 1.742 at FSTS 100. This pattern supports the interpretation of DAI as a scale-enabling complement whose productivity relevance emerges more clearly when firms face denser cross-border coordination and transaction demands.</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The manuscript should therefore state the DAI finding in conditional terms. In Singapore’s digital-frontier environment, foundational digital adoption appears to function less as a universal productivity lever and more as a scale-enabling complement for firms facing denser cross-border coordination demands. That interpretation is also fully consistent with the construct boundary established earlier, because the observed effect concerns Tier 1–2 digital adoption rather than deeper digitally integrated organizational capability.</w:t>
      </w:r>
      <w:r>
        <w:rPr>
          <w:rtl w:val="0"/>
        </w:rPr>
      </w:r>
    </w:p>
    <w:p w:rsidR="00000000" w:rsidDel="00000000" w:rsidP="00000000" w:rsidRDefault="00000000" w:rsidRPr="00000000" w14:paraId="000001B6">
      <w:pPr>
        <w:spacing w:after="240" w:line="280" w:lineRule="auto"/>
        <w:jc w:val="center"/>
        <w:rPr/>
      </w:pPr>
      <w:r>
        <w:rPr>
          <w:rFonts w:ascii="Times New Roman" w:cs="Times New Roman" w:eastAsia="Times New Roman" w:hAnsi="Times New Roman"/>
          <w:i w:val="1"/>
          <w:iCs w:val="1"/>
          <w:sz w:val="18"/>
          <w:szCs w:val="18"/>
          <w:rtl w:val="0"/>
        </w:rPr>
        <w:t>Figure 2. Marginal effects of digital adoption across export intensity. Marginal effect estimates of DAI on labour productivity across the FSTS distribution with 95% confidence intervals from Model M8. The figure shows that the productivity association of DAI is weak across much of the low-to-middle export range but becomes more positive in the high-export tail.</w:t>
      </w:r>
      <w:r>
        <w:rPr>
          <w:rtl w:val="0"/>
        </w:rPr>
      </w:r>
    </w:p>
    <w:p w:rsidR="00000000" w:rsidDel="00000000" w:rsidP="00000000" w:rsidRDefault="00000000" w:rsidRPr="00000000" w14:paraId="000001B7">
      <w:pPr>
        <w:spacing w:after="240" w:line="280" w:lineRule="auto"/>
        <w:jc w:val="center"/>
        <w:rPr/>
      </w:pPr>
      <w:r>
        <w:rPr>
          <w:rFonts w:ascii="Times New Roman" w:cs="Times New Roman" w:eastAsia="Times New Roman" w:hAnsi="Times New Roman"/>
          <w:i w:val="1"/>
          <w:iCs w:val="1"/>
          <w:sz w:val="18"/>
          <w:szCs w:val="18"/>
          <w:rtl w:val="0"/>
        </w:rPr>
        <w:t>Figure 3. Predicted internationalization–performance curve. Predicted relationship between export intensity and labour productivity with 95% confidence bands from the baseline quadratic specification. The implied turning point occurs at FSTS 82.4 on the original scale, but this point lies in a sparsely populated upper tail and should therefore be interpreted as descriptive rather than as structurally identified evidence of an inverted-U.</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Figure 3 visualizes the baseline quadratic fit between export intensity and labour productivity. Although the fitted curve implies a turning point at FSTS 82.4, that point lies in a sparsely populated upper tail of the sample and is not supported by the formal Lind–Mehlum test as evidence of a confirmed inverted-U. The appropriate interpretation is therefore not that the classic nonlinear literature is overturned, but that in a digital-frontier institutional environment the right-side decline of the curve appears attenuated or shifted beyond the export range occupied by most firms in the data.</w:t>
      </w:r>
      <w:r>
        <w:rPr>
          <w:rtl w:val="0"/>
        </w:rPr>
      </w:r>
    </w:p>
    <w:p w:rsidR="00000000" w:rsidDel="00000000" w:rsidP="00000000" w:rsidRDefault="00000000" w:rsidRPr="00000000" w14:paraId="000001B8">
      <w:pPr>
        <w:spacing w:after="160" w:before="280" w:lineRule="auto"/>
        <w:jc w:val="left"/>
        <w:rPr/>
      </w:pPr>
      <w:r>
        <w:rPr>
          <w:rFonts w:ascii="Times New Roman" w:cs="Times New Roman" w:eastAsia="Times New Roman" w:hAnsi="Times New Roman"/>
          <w:b w:val="1"/>
          <w:bCs w:val="1"/>
          <w:sz w:val="22"/>
          <w:szCs w:val="22"/>
          <w:rtl w:val="0"/>
        </w:rPr>
        <w:t xml:space="preserve">4.5 Robustness checks</w:t>
      </w:r>
      <w:r>
        <w:rPr>
          <w:rtl w:val="0"/>
        </w:rPr>
      </w:r>
    </w:p>
    <w:p w:rsidR="00000000" w:rsidDel="00000000" w:rsidP="00000000" w:rsidRDefault="00000000" w:rsidRPr="00000000" w14:paraId="000001B9">
      <w:pPr>
        <w:spacing w:after="0" w:line="480" w:lineRule="auto"/>
        <w:ind w:firstLine="720"/>
        <w:jc w:val="both"/>
        <w:rPr/>
      </w:pPr>
      <w:r>
        <w:rPr>
          <w:rFonts w:ascii="Times New Roman" w:cs="Times New Roman" w:eastAsia="Times New Roman" w:hAnsi="Times New Roman"/>
          <w:sz w:val="20"/>
          <w:szCs w:val="20"/>
          <w:rtl w:val="0"/>
        </w:rPr>
        <w:t>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rPr>
          <w:rtl w:val="0"/>
        </w:rPr>
      </w:r>
    </w:p>
    <w:p w:rsidR="00000000" w:rsidDel="00000000" w:rsidP="00000000" w:rsidRDefault="00000000" w:rsidRPr="00000000" w14:paraId="000001BA">
      <w:pPr>
        <w:spacing w:after="0" w:line="480" w:lineRule="auto"/>
        <w:ind w:firstLine="720"/>
        <w:jc w:val="both"/>
        <w:rPr/>
      </w:pPr>
      <w:r>
        <w:rPr>
          <w:rFonts w:ascii="Cardo" w:cs="Cardo" w:eastAsia="Cardo" w:hAnsi="Cardo"/>
          <w:sz w:val="20"/>
          <w:szCs w:val="20"/>
          <w:rtl w:val="0"/>
        </w:rPr>
        <w:t>When DAI is reduced to a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w:t>
      </w:r>
      <w:r>
        <w:rPr>
          <w:rtl w:val="0"/>
        </w:rPr>
      </w:r>
      <w:r>
        <w:rPr>
          <w:rFonts w:ascii="Times New Roman" w:hAnsi="Times New Roman"/>
          <w:sz w:val="22"/>
        </w:rPr>
      </w:r>
    </w:p>
    <w:p w:rsidR="00000000" w:rsidDel="00000000" w:rsidP="00000000" w:rsidRDefault="00000000" w:rsidRPr="00000000" w14:paraId="000001BA">
      <w:pPr>
        <w:spacing w:after="0" w:line="480" w:lineRule="auto"/>
        <w:ind w:firstLine="720"/>
        <w:jc w:val="both"/>
        <w:rPr/>
      </w:pPr>
      <w:r>
        <w:rPr>
          <w:rFonts w:ascii="Cardo" w:cs="Cardo" w:eastAsia="Cardo" w:hAnsi="Cardo"/>
          <w:sz w:val="20"/>
          <w:szCs w:val="20"/>
          <w:rtl w:val="0"/>
        </w:rPr>
        <w:t>The effect sizes reported in the manuscript reinforce a cautious interpretation. The TCI direct effect is in the small-to-medium range, while the DAI moderation block is statistically detectable but substantively modest, which is typical for interaction effects in organizational research. Taken together, the strongest empirical claim of Section 4 is therefore not that digital adoption yields a large average productivity premium, but that its association with productivity becomes more positive as export intensity rises in a digitally mature setting.</w:t>
      </w:r>
      <w:r>
        <w:rPr>
          <w:rtl w:val="0"/>
        </w:rPr>
      </w:r>
      <w:r>
        <w:rPr>
          <w:rFonts w:ascii="Times New Roman" w:hAnsi="Times New Roman"/>
          <w:sz w:val="22"/>
        </w:rPr>
      </w:r>
    </w:p>
    <w:p w:rsidR="00000000" w:rsidDel="00000000" w:rsidP="00000000" w:rsidRDefault="00000000" w:rsidRPr="00000000" w14:paraId="000001BB">
      <w:pPr>
        <w:spacing w:after="60" w:line="480" w:lineRule="auto"/>
        <w:jc w:val="left"/>
        <w:rPr/>
      </w:pPr>
      <w:r>
        <w:rPr>
          <w:rFonts w:ascii="Times New Roman" w:cs="Times New Roman" w:eastAsia="Times New Roman" w:hAnsi="Times New Roman"/>
          <w:b w:val="1"/>
          <w:bCs w:val="1"/>
          <w:sz w:val="20"/>
          <w:szCs w:val="20"/>
          <w:rtl w:val="0"/>
        </w:rPr>
        <w:t xml:space="preserve">Table 3. Robustness checks for primary findings (six specifications).</w:t>
      </w:r>
      <w:r>
        <w:rPr>
          <w:rtl w:val="0"/>
        </w:rPr>
      </w:r>
    </w:p>
    <w:p w:rsidR="00000000" w:rsidDel="00000000" w:rsidP="00000000" w:rsidRDefault="00000000" w:rsidRPr="00000000" w14:paraId="000001BC">
      <w:pPr>
        <w:spacing w:after="120" w:line="480" w:lineRule="auto"/>
        <w:jc w:val="left"/>
        <w:rPr/>
      </w:pPr>
      <w:r>
        <w:rPr>
          <w:rFonts w:ascii="Times New Roman" w:cs="Times New Roman" w:eastAsia="Times New Roman" w:hAnsi="Times New Roman"/>
          <w:i w:val="1"/>
          <w:iCs w:val="1"/>
          <w:sz w:val="16"/>
          <w:szCs w:val="16"/>
          <w:rtl w:val="0"/>
        </w:rPr>
        <w:t xml:space="preserve">DV: Ln(Labour Productivity). HC1 robust standard errors. Each row reports a separate full-specification regression with controls.</w:t>
      </w:r>
      <w:r>
        <w:rPr>
          <w:rtl w:val="0"/>
        </w:rPr>
      </w:r>
    </w:p>
    <w:tbl>
      <w:tblPr>
        <w:tblStyle w:val="Table4"/>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800"/>
        <w:gridCol w:w="1300"/>
        <w:gridCol w:w="1300"/>
        <w:gridCol w:w="1500"/>
        <w:gridCol w:w="900"/>
        <w:tblGridChange w:id="0">
          <w:tblGrid>
            <w:gridCol w:w="2700"/>
            <w:gridCol w:w="800"/>
            <w:gridCol w:w="1300"/>
            <w:gridCol w:w="1300"/>
            <w:gridCol w:w="1500"/>
            <w:gridCol w:w="9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D">
            <w:pPr>
              <w:spacing w:line="240" w:lineRule="auto"/>
              <w:jc w:val="left"/>
              <w:rPr/>
            </w:pPr>
            <w:r>
              <w:rPr>
                <w:rFonts w:ascii="Times New Roman" w:cs="Times New Roman" w:eastAsia="Times New Roman" w:hAnsi="Times New Roman"/>
                <w:b w:val="1"/>
                <w:bCs w:val="1"/>
                <w:sz w:val="16"/>
                <w:szCs w:val="16"/>
                <w:rtl w:val="0"/>
              </w:rPr>
              <w:t xml:space="preserve">Specification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E">
            <w:pPr>
              <w:spacing w:line="240" w:lineRule="auto"/>
              <w:jc w:val="center"/>
              <w:rPr/>
            </w:pPr>
            <w:r>
              <w:rPr>
                <w:rFonts w:ascii="Times New Roman" w:cs="Times New Roman" w:eastAsia="Times New Roman" w:hAnsi="Times New Roman"/>
                <w:b w:val="1"/>
                <w:bCs w:val="1"/>
                <w:sz w:val="16"/>
                <w:szCs w:val="16"/>
                <w:rtl w:val="0"/>
              </w:rPr>
              <w:t xml:space="preserve">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F">
            <w:pPr>
              <w:spacing w:line="240" w:lineRule="auto"/>
              <w:jc w:val="center"/>
              <w:rPr/>
            </w:pPr>
            <w:r>
              <w:rPr>
                <w:rFonts w:ascii="Times New Roman" w:cs="Times New Roman" w:eastAsia="Times New Roman" w:hAnsi="Times New Roman"/>
                <w:b w:val="1"/>
                <w:bCs w:val="1"/>
                <w:sz w:val="16"/>
                <w:szCs w:val="16"/>
                <w:rtl w:val="0"/>
              </w:rPr>
              <w:t xml:space="preserve">TCI β_z</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0">
            <w:pPr>
              <w:spacing w:line="240" w:lineRule="auto"/>
              <w:jc w:val="center"/>
              <w:rPr/>
            </w:pPr>
            <w:r>
              <w:rPr>
                <w:rFonts w:ascii="Times New Roman" w:cs="Times New Roman" w:eastAsia="Times New Roman" w:hAnsi="Times New Roman"/>
                <w:b w:val="1"/>
                <w:bCs w:val="1"/>
                <w:sz w:val="16"/>
                <w:szCs w:val="16"/>
                <w:rtl w:val="0"/>
              </w:rPr>
              <w:t xml:space="preserve">FSTS² × 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1">
            <w:pPr>
              <w:spacing w:line="240" w:lineRule="auto"/>
              <w:jc w:val="center"/>
              <w:rPr/>
            </w:pPr>
            <w:r>
              <w:rPr>
                <w:rFonts w:ascii="Times New Roman" w:cs="Times New Roman" w:eastAsia="Times New Roman" w:hAnsi="Times New Roman"/>
                <w:b w:val="1"/>
                <w:bCs w:val="1"/>
                <w:sz w:val="16"/>
                <w:szCs w:val="16"/>
                <w:rtl w:val="0"/>
              </w:rPr>
              <w:t xml:space="preserve">Joint F (p)</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2">
            <w:pPr>
              <w:spacing w:line="240" w:lineRule="auto"/>
              <w:jc w:val="center"/>
              <w:rPr/>
            </w:pPr>
            <w:r>
              <w:rPr>
                <w:rFonts w:ascii="Times New Roman" w:cs="Times New Roman" w:eastAsia="Times New Roman" w:hAnsi="Times New Roman"/>
                <w:b w:val="1"/>
                <w:bCs w:val="1"/>
                <w:sz w:val="16"/>
                <w:szCs w:val="16"/>
                <w:rtl w:val="0"/>
              </w:rPr>
              <w:t xml:space="preserve">Adj. R²</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3">
            <w:pPr>
              <w:spacing w:line="240" w:lineRule="auto"/>
              <w:jc w:val="left"/>
              <w:rPr/>
            </w:pPr>
            <w:r>
              <w:rPr>
                <w:rFonts w:ascii="Times New Roman" w:cs="Times New Roman" w:eastAsia="Times New Roman" w:hAnsi="Times New Roman"/>
                <w:b w:val="1"/>
                <w:bCs w:val="1"/>
                <w:sz w:val="16"/>
                <w:szCs w:val="16"/>
                <w:rtl w:val="0"/>
              </w:rPr>
              <w:t xml:space="preserve">Baseline (TCI_full + DAI_rich)</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4">
            <w:pPr>
              <w:spacing w:line="240" w:lineRule="auto"/>
              <w:jc w:val="center"/>
              <w:rPr/>
            </w:pPr>
            <w:r>
              <w:rPr>
                <w:rFonts w:ascii="Times New Roman" w:cs="Times New Roman" w:eastAsia="Times New Roman" w:hAnsi="Times New Roman"/>
                <w:b w:val="0"/>
                <w:bCs w:val="0"/>
                <w:sz w:val="16"/>
                <w:szCs w:val="16"/>
                <w:rtl w:val="0"/>
              </w:rPr>
              <w:t xml:space="preserve">617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5">
            <w:pPr>
              <w:spacing w:line="240" w:lineRule="auto"/>
              <w:jc w:val="center"/>
              <w:rPr/>
            </w:pPr>
            <w:r>
              <w:rPr>
                <w:rFonts w:ascii="Times New Roman" w:cs="Times New Roman" w:eastAsia="Times New Roman" w:hAnsi="Times New Roman"/>
                <w:b w:val="0"/>
                <w:bCs w:val="0"/>
                <w:sz w:val="16"/>
                <w:szCs w:val="16"/>
                <w:rtl w:val="0"/>
              </w:rPr>
              <w:t xml:space="preserve">0.187***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6">
            <w:pPr>
              <w:spacing w:line="240" w:lineRule="auto"/>
              <w:jc w:val="center"/>
              <w:rPr/>
            </w:pPr>
            <w:r>
              <w:rPr>
                <w:rFonts w:ascii="Times New Roman" w:cs="Times New Roman" w:eastAsia="Times New Roman" w:hAnsi="Times New Roman"/>
                <w:b w:val="0"/>
                <w:bCs w:val="0"/>
                <w:sz w:val="16"/>
                <w:szCs w:val="16"/>
                <w:rtl w:val="0"/>
              </w:rPr>
              <w:t xml:space="preserve">2.972*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7">
            <w:pPr>
              <w:spacing w:line="240" w:lineRule="auto"/>
              <w:jc w:val="center"/>
              <w:rPr/>
            </w:pPr>
            <w:r>
              <w:rPr>
                <w:rFonts w:ascii="Times New Roman" w:cs="Times New Roman" w:eastAsia="Times New Roman" w:hAnsi="Times New Roman"/>
                <w:b w:val="0"/>
                <w:bCs w:val="0"/>
                <w:sz w:val="16"/>
                <w:szCs w:val="16"/>
                <w:rtl w:val="0"/>
              </w:rPr>
              <w:t xml:space="preserve">3.28 (.039)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8">
            <w:pPr>
              <w:spacing w:line="240" w:lineRule="auto"/>
              <w:jc w:val="center"/>
              <w:rPr/>
            </w:pPr>
            <w:r>
              <w:rPr>
                <w:rFonts w:ascii="Times New Roman" w:cs="Times New Roman" w:eastAsia="Times New Roman" w:hAnsi="Times New Roman"/>
                <w:b w:val="0"/>
                <w:bCs w:val="0"/>
                <w:sz w:val="16"/>
                <w:szCs w:val="16"/>
                <w:rtl w:val="0"/>
              </w:rPr>
              <w:t xml:space="preserve">0.192</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9">
            <w:pPr>
              <w:spacing w:line="240" w:lineRule="auto"/>
              <w:jc w:val="left"/>
              <w:rPr/>
            </w:pPr>
            <w:r>
              <w:rPr>
                <w:rFonts w:ascii="Times New Roman" w:cs="Times New Roman" w:eastAsia="Times New Roman" w:hAnsi="Times New Roman"/>
                <w:b w:val="0"/>
                <w:bCs w:val="0"/>
                <w:sz w:val="16"/>
                <w:szCs w:val="16"/>
                <w:rtl w:val="0"/>
              </w:rPr>
              <w:t xml:space="preserve">R1: DAI_thin (website c22b only)</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A">
            <w:pPr>
              <w:spacing w:line="240" w:lineRule="auto"/>
              <w:jc w:val="center"/>
              <w:rPr/>
            </w:pPr>
            <w:r>
              <w:rPr>
                <w:rFonts w:ascii="Times New Roman" w:cs="Times New Roman" w:eastAsia="Times New Roman" w:hAnsi="Times New Roman"/>
                <w:b w:val="0"/>
                <w:bCs w:val="0"/>
                <w:sz w:val="16"/>
                <w:szCs w:val="16"/>
                <w:rtl w:val="0"/>
              </w:rPr>
              <w:t xml:space="preserve">623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B">
            <w:pPr>
              <w:spacing w:line="240" w:lineRule="auto"/>
              <w:jc w:val="center"/>
              <w:rPr/>
            </w:pPr>
            <w:r>
              <w:rPr>
                <w:rFonts w:ascii="Times New Roman" w:cs="Times New Roman" w:eastAsia="Times New Roman" w:hAnsi="Times New Roman"/>
                <w:b w:val="0"/>
                <w:bCs w:val="0"/>
                <w:sz w:val="16"/>
                <w:szCs w:val="16"/>
                <w:rtl w:val="0"/>
              </w:rPr>
              <w:t xml:space="preserve">0.211***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C">
            <w:pPr>
              <w:spacing w:line="240" w:lineRule="auto"/>
              <w:jc w:val="center"/>
              <w:rPr/>
            </w:pPr>
            <w:r>
              <w:rPr>
                <w:rFonts w:ascii="Times New Roman" w:cs="Times New Roman" w:eastAsia="Times New Roman" w:hAnsi="Times New Roman"/>
                <w:b w:val="0"/>
                <w:bCs w:val="0"/>
                <w:sz w:val="16"/>
                <w:szCs w:val="16"/>
                <w:rtl w:val="0"/>
              </w:rPr>
              <w:t xml:space="preserve">1.563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D">
            <w:pPr>
              <w:spacing w:line="240" w:lineRule="auto"/>
              <w:jc w:val="center"/>
              <w:rPr/>
            </w:pPr>
            <w:r>
              <w:rPr>
                <w:rFonts w:ascii="Times New Roman" w:cs="Times New Roman" w:eastAsia="Times New Roman" w:hAnsi="Times New Roman"/>
                <w:b w:val="0"/>
                <w:bCs w:val="0"/>
                <w:sz w:val="16"/>
                <w:szCs w:val="16"/>
                <w:rtl w:val="0"/>
              </w:rPr>
              <w:t xml:space="preserve">0.95 (.388)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E">
            <w:pPr>
              <w:spacing w:line="240" w:lineRule="auto"/>
              <w:jc w:val="center"/>
              <w:rPr/>
            </w:pPr>
            <w:r>
              <w:rPr>
                <w:rFonts w:ascii="Times New Roman" w:cs="Times New Roman" w:eastAsia="Times New Roman" w:hAnsi="Times New Roman"/>
                <w:b w:val="0"/>
                <w:bCs w:val="0"/>
                <w:sz w:val="16"/>
                <w:szCs w:val="16"/>
                <w:rtl w:val="0"/>
              </w:rPr>
              <w:t xml:space="preserve">0.184</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F">
            <w:pPr>
              <w:spacing w:line="240" w:lineRule="auto"/>
              <w:jc w:val="left"/>
              <w:rPr/>
            </w:pPr>
            <w:r>
              <w:rPr>
                <w:rFonts w:ascii="Times New Roman" w:cs="Times New Roman" w:eastAsia="Times New Roman" w:hAnsi="Times New Roman"/>
                <w:b w:val="0"/>
                <w:bCs w:val="0"/>
                <w:sz w:val="16"/>
                <w:szCs w:val="16"/>
                <w:rtl w:val="0"/>
              </w:rPr>
              <w:t xml:space="preserve">R2: TCI_thin (e6 + b8)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0">
            <w:pPr>
              <w:spacing w:line="240" w:lineRule="auto"/>
              <w:jc w:val="center"/>
              <w:rPr/>
            </w:pPr>
            <w:r>
              <w:rPr>
                <w:rFonts w:ascii="Times New Roman" w:cs="Times New Roman" w:eastAsia="Times New Roman" w:hAnsi="Times New Roman"/>
                <w:b w:val="0"/>
                <w:bCs w:val="0"/>
                <w:sz w:val="16"/>
                <w:szCs w:val="16"/>
                <w:rtl w:val="0"/>
              </w:rPr>
              <w:t xml:space="preserve">617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1">
            <w:pPr>
              <w:spacing w:line="240" w:lineRule="auto"/>
              <w:jc w:val="center"/>
              <w:rPr/>
            </w:pPr>
            <w:r>
              <w:rPr>
                <w:rFonts w:ascii="Times New Roman" w:cs="Times New Roman" w:eastAsia="Times New Roman" w:hAnsi="Times New Roman"/>
                <w:b w:val="0"/>
                <w:bCs w:val="0"/>
                <w:sz w:val="16"/>
                <w:szCs w:val="16"/>
                <w:rtl w:val="0"/>
              </w:rPr>
              <w:t xml:space="preserve">0.171***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2">
            <w:pPr>
              <w:spacing w:line="240" w:lineRule="auto"/>
              <w:jc w:val="center"/>
              <w:rPr/>
            </w:pPr>
            <w:r>
              <w:rPr>
                <w:rFonts w:ascii="Times New Roman" w:cs="Times New Roman" w:eastAsia="Times New Roman" w:hAnsi="Times New Roman"/>
                <w:b w:val="0"/>
                <w:bCs w:val="0"/>
                <w:sz w:val="16"/>
                <w:szCs w:val="16"/>
                <w:rtl w:val="0"/>
              </w:rPr>
              <w:t xml:space="preserve">2.749*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3">
            <w:pPr>
              <w:spacing w:line="240" w:lineRule="auto"/>
              <w:jc w:val="center"/>
              <w:rPr/>
            </w:pPr>
            <w:r>
              <w:rPr>
                <w:rFonts w:ascii="Times New Roman" w:cs="Times New Roman" w:eastAsia="Times New Roman" w:hAnsi="Times New Roman"/>
                <w:b w:val="0"/>
                <w:bCs w:val="0"/>
                <w:sz w:val="16"/>
                <w:szCs w:val="16"/>
                <w:rtl w:val="0"/>
              </w:rPr>
              <w:t xml:space="preserve">2.97 (.052)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4">
            <w:pPr>
              <w:spacing w:line="240" w:lineRule="auto"/>
              <w:jc w:val="center"/>
              <w:rPr/>
            </w:pPr>
            <w:r>
              <w:rPr>
                <w:rFonts w:ascii="Times New Roman" w:cs="Times New Roman" w:eastAsia="Times New Roman" w:hAnsi="Times New Roman"/>
                <w:b w:val="0"/>
                <w:bCs w:val="0"/>
                <w:sz w:val="16"/>
                <w:szCs w:val="16"/>
                <w:rtl w:val="0"/>
              </w:rPr>
              <w:t xml:space="preserve">0.188</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5">
            <w:pPr>
              <w:spacing w:line="240" w:lineRule="auto"/>
              <w:jc w:val="left"/>
              <w:rPr/>
            </w:pPr>
            <w:r>
              <w:rPr>
                <w:rFonts w:ascii="Times New Roman" w:cs="Times New Roman" w:eastAsia="Times New Roman" w:hAnsi="Times New Roman"/>
                <w:b w:val="0"/>
                <w:bCs w:val="0"/>
                <w:sz w:val="16"/>
                <w:szCs w:val="16"/>
                <w:rtl w:val="0"/>
              </w:rPr>
              <w:t xml:space="preserve">R3: Excl micro-firms (&lt;10 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6">
            <w:pPr>
              <w:spacing w:line="240" w:lineRule="auto"/>
              <w:jc w:val="center"/>
              <w:rPr/>
            </w:pPr>
            <w:r>
              <w:rPr>
                <w:rFonts w:ascii="Times New Roman" w:cs="Times New Roman" w:eastAsia="Times New Roman" w:hAnsi="Times New Roman"/>
                <w:b w:val="0"/>
                <w:bCs w:val="0"/>
                <w:sz w:val="16"/>
                <w:szCs w:val="16"/>
                <w:rtl w:val="0"/>
              </w:rPr>
              <w:t xml:space="preserve">464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7">
            <w:pPr>
              <w:spacing w:line="240" w:lineRule="auto"/>
              <w:jc w:val="center"/>
              <w:rPr/>
            </w:pPr>
            <w:r>
              <w:rPr>
                <w:rFonts w:ascii="Times New Roman" w:cs="Times New Roman" w:eastAsia="Times New Roman" w:hAnsi="Times New Roman"/>
                <w:b w:val="0"/>
                <w:bCs w:val="0"/>
                <w:sz w:val="16"/>
                <w:szCs w:val="16"/>
                <w:rtl w:val="0"/>
              </w:rPr>
              <w:t xml:space="preserve">0.218***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8">
            <w:pPr>
              <w:spacing w:line="240" w:lineRule="auto"/>
              <w:jc w:val="center"/>
              <w:rPr/>
            </w:pPr>
            <w:r>
              <w:rPr>
                <w:rFonts w:ascii="Times New Roman" w:cs="Times New Roman" w:eastAsia="Times New Roman" w:hAnsi="Times New Roman"/>
                <w:b w:val="0"/>
                <w:bCs w:val="0"/>
                <w:sz w:val="16"/>
                <w:szCs w:val="16"/>
                <w:rtl w:val="0"/>
              </w:rPr>
              <w:t xml:space="preserve">3.535*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9">
            <w:pPr>
              <w:spacing w:line="240" w:lineRule="auto"/>
              <w:jc w:val="center"/>
              <w:rPr/>
            </w:pPr>
            <w:r>
              <w:rPr>
                <w:rFonts w:ascii="Times New Roman" w:cs="Times New Roman" w:eastAsia="Times New Roman" w:hAnsi="Times New Roman"/>
                <w:b w:val="0"/>
                <w:bCs w:val="0"/>
                <w:sz w:val="16"/>
                <w:szCs w:val="16"/>
                <w:rtl w:val="0"/>
              </w:rPr>
              <w:t xml:space="preserve">4.64 (.010)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A">
            <w:pPr>
              <w:spacing w:line="240" w:lineRule="auto"/>
              <w:jc w:val="center"/>
              <w:rPr/>
            </w:pPr>
            <w:r>
              <w:rPr>
                <w:rFonts w:ascii="Times New Roman" w:cs="Times New Roman" w:eastAsia="Times New Roman" w:hAnsi="Times New Roman"/>
                <w:b w:val="0"/>
                <w:bCs w:val="0"/>
                <w:sz w:val="16"/>
                <w:szCs w:val="16"/>
                <w:rtl w:val="0"/>
              </w:rPr>
              <w:t xml:space="preserve">0.226</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B">
            <w:pPr>
              <w:spacing w:line="240" w:lineRule="auto"/>
              <w:jc w:val="left"/>
              <w:rPr/>
            </w:pPr>
            <w:r>
              <w:rPr>
                <w:rFonts w:ascii="Gungsuh" w:cs="Gungsuh" w:eastAsia="Gungsuh" w:hAnsi="Gungsuh"/>
                <w:b w:val="0"/>
                <w:bCs w:val="0"/>
                <w:sz w:val="16"/>
                <w:szCs w:val="16"/>
                <w:rtl w:val="0"/>
              </w:rPr>
              <w:t xml:space="preserve">R4: SMEs only (≤200 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C">
            <w:pPr>
              <w:spacing w:line="240" w:lineRule="auto"/>
              <w:jc w:val="center"/>
              <w:rPr/>
            </w:pPr>
            <w:r>
              <w:rPr>
                <w:rFonts w:ascii="Times New Roman" w:cs="Times New Roman" w:eastAsia="Times New Roman" w:hAnsi="Times New Roman"/>
                <w:b w:val="0"/>
                <w:bCs w:val="0"/>
                <w:sz w:val="16"/>
                <w:szCs w:val="16"/>
                <w:rtl w:val="0"/>
              </w:rPr>
              <w:t xml:space="preserve">595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D">
            <w:pPr>
              <w:spacing w:line="240" w:lineRule="auto"/>
              <w:jc w:val="center"/>
              <w:rPr/>
            </w:pPr>
            <w:r>
              <w:rPr>
                <w:rFonts w:ascii="Times New Roman" w:cs="Times New Roman" w:eastAsia="Times New Roman" w:hAnsi="Times New Roman"/>
                <w:b w:val="0"/>
                <w:bCs w:val="0"/>
                <w:sz w:val="16"/>
                <w:szCs w:val="16"/>
                <w:rtl w:val="0"/>
              </w:rPr>
              <w:t xml:space="preserve">0.180***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E">
            <w:pPr>
              <w:spacing w:line="240" w:lineRule="auto"/>
              <w:jc w:val="center"/>
              <w:rPr/>
            </w:pPr>
            <w:r>
              <w:rPr>
                <w:rFonts w:ascii="Times New Roman" w:cs="Times New Roman" w:eastAsia="Times New Roman" w:hAnsi="Times New Roman"/>
                <w:b w:val="0"/>
                <w:bCs w:val="0"/>
                <w:sz w:val="16"/>
                <w:szCs w:val="16"/>
                <w:rtl w:val="0"/>
              </w:rPr>
              <w:t xml:space="preserve">3.483**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F">
            <w:pPr>
              <w:spacing w:line="240" w:lineRule="auto"/>
              <w:jc w:val="center"/>
              <w:rPr/>
            </w:pPr>
            <w:r>
              <w:rPr>
                <w:rFonts w:ascii="Times New Roman" w:cs="Times New Roman" w:eastAsia="Times New Roman" w:hAnsi="Times New Roman"/>
                <w:b w:val="0"/>
                <w:bCs w:val="0"/>
                <w:sz w:val="16"/>
                <w:szCs w:val="16"/>
                <w:rtl w:val="0"/>
              </w:rPr>
              <w:t xml:space="preserve">3.81 (.023)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0">
            <w:pPr>
              <w:spacing w:line="240" w:lineRule="auto"/>
              <w:jc w:val="center"/>
              <w:rPr/>
            </w:pPr>
            <w:r>
              <w:rPr>
                <w:rFonts w:ascii="Times New Roman" w:cs="Times New Roman" w:eastAsia="Times New Roman" w:hAnsi="Times New Roman"/>
                <w:b w:val="0"/>
                <w:bCs w:val="0"/>
                <w:sz w:val="16"/>
                <w:szCs w:val="16"/>
                <w:rtl w:val="0"/>
              </w:rPr>
              <w:t xml:space="preserve">0.197</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1">
            <w:pPr>
              <w:spacing w:line="240" w:lineRule="auto"/>
              <w:jc w:val="left"/>
              <w:rPr/>
            </w:pPr>
            <w:r>
              <w:rPr>
                <w:rFonts w:ascii="Times New Roman" w:cs="Times New Roman" w:eastAsia="Times New Roman" w:hAnsi="Times New Roman"/>
                <w:b w:val="0"/>
                <w:bCs w:val="0"/>
                <w:sz w:val="16"/>
                <w:szCs w:val="16"/>
                <w:rtl w:val="0"/>
              </w:rPr>
              <w:t xml:space="preserve">R5: Exporters only (FSTS &gt; 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2">
            <w:pPr>
              <w:spacing w:line="240" w:lineRule="auto"/>
              <w:jc w:val="center"/>
              <w:rPr/>
            </w:pPr>
            <w:r>
              <w:rPr>
                <w:rFonts w:ascii="Times New Roman" w:cs="Times New Roman" w:eastAsia="Times New Roman" w:hAnsi="Times New Roman"/>
                <w:b w:val="0"/>
                <w:bCs w:val="0"/>
                <w:sz w:val="16"/>
                <w:szCs w:val="16"/>
                <w:rtl w:val="0"/>
              </w:rPr>
              <w:t xml:space="preserve">84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3">
            <w:pPr>
              <w:spacing w:line="240" w:lineRule="auto"/>
              <w:jc w:val="center"/>
              <w:rPr/>
            </w:pPr>
            <w:r>
              <w:rPr>
                <w:rFonts w:ascii="Times New Roman" w:cs="Times New Roman" w:eastAsia="Times New Roman" w:hAnsi="Times New Roman"/>
                <w:b w:val="0"/>
                <w:bCs w:val="0"/>
                <w:sz w:val="16"/>
                <w:szCs w:val="16"/>
                <w:rtl w:val="0"/>
              </w:rPr>
              <w:t xml:space="preserve">0.143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4">
            <w:pPr>
              <w:spacing w:line="240" w:lineRule="auto"/>
              <w:jc w:val="center"/>
              <w:rPr/>
            </w:pPr>
            <w:r>
              <w:rPr>
                <w:rFonts w:ascii="Times New Roman" w:cs="Times New Roman" w:eastAsia="Times New Roman" w:hAnsi="Times New Roman"/>
                <w:b w:val="0"/>
                <w:bCs w:val="0"/>
                <w:sz w:val="16"/>
                <w:szCs w:val="16"/>
                <w:rtl w:val="0"/>
              </w:rPr>
              <w:t xml:space="preserve">1.308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5">
            <w:pPr>
              <w:spacing w:line="240" w:lineRule="auto"/>
              <w:jc w:val="center"/>
              <w:rPr/>
            </w:pPr>
            <w:r>
              <w:rPr>
                <w:rFonts w:ascii="Times New Roman" w:cs="Times New Roman" w:eastAsia="Times New Roman" w:hAnsi="Times New Roman"/>
                <w:b w:val="0"/>
                <w:bCs w:val="0"/>
                <w:sz w:val="16"/>
                <w:szCs w:val="16"/>
                <w:rtl w:val="0"/>
              </w:rPr>
              <w:t xml:space="preserve">3.18 (.048)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6">
            <w:pPr>
              <w:spacing w:line="240" w:lineRule="auto"/>
              <w:jc w:val="center"/>
              <w:rPr/>
            </w:pPr>
            <w:r>
              <w:rPr>
                <w:rFonts w:ascii="Times New Roman" w:cs="Times New Roman" w:eastAsia="Times New Roman" w:hAnsi="Times New Roman"/>
                <w:b w:val="0"/>
                <w:bCs w:val="0"/>
                <w:sz w:val="16"/>
                <w:szCs w:val="16"/>
                <w:rtl w:val="0"/>
              </w:rPr>
              <w:t xml:space="preserve">0.140</w:t>
            </w:r>
            <w:r>
              <w:rPr>
                <w:rtl w:val="0"/>
              </w:rPr>
            </w:r>
          </w:p>
        </w:tc>
      </w:tr>
    </w:tbl>
    <w:p w:rsidR="00000000" w:rsidDel="00000000" w:rsidP="00000000" w:rsidRDefault="00000000" w:rsidRPr="00000000" w14:paraId="000001E7">
      <w:pPr>
        <w:spacing w:after="60" w:line="480" w:lineRule="auto"/>
        <w:jc w:val="left"/>
        <w:rPr/>
      </w:pPr>
      <w:r>
        <w:rPr>
          <w:rtl w:val="0"/>
        </w:rPr>
      </w:r>
    </w:p>
    <w:p w:rsidR="00000000" w:rsidDel="00000000" w:rsidP="00000000" w:rsidRDefault="00000000" w:rsidRPr="00000000" w14:paraId="000001E8">
      <w:pPr>
        <w:spacing w:after="240" w:line="480" w:lineRule="auto"/>
        <w:jc w:val="left"/>
        <w:rPr/>
      </w:pPr>
      <w:r>
        <w:rPr>
          <w:rFonts w:ascii="Gungsuh" w:cs="Gungsuh" w:eastAsia="Gungsuh" w:hAnsi="Gungsuh"/>
          <w:i w:val="1"/>
          <w:iCs w:val="1"/>
          <w:sz w:val="16"/>
          <w:szCs w:val="16"/>
          <w:rtl w:val="0"/>
        </w:rPr>
        <w:t>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rPr>
          <w:rtl w:val="0"/>
        </w:rPr>
      </w:r>
      <w:r>
        <w:rPr>
          <w:rFonts w:ascii="Times New Roman" w:hAnsi="Times New Roman"/>
          <w:sz w:val="18"/>
        </w:rPr>
      </w:r>
    </w:p>
    <w:p w:rsidR="00000000" w:rsidDel="00000000" w:rsidP="00000000" w:rsidRDefault="00000000" w:rsidRPr="00000000" w14:paraId="000001B9">
      <w:pPr>
        <w:spacing w:after="0" w:line="480" w:lineRule="auto"/>
        <w:ind w:firstLine="720"/>
        <w:jc w:val="both"/>
        <w:rPr/>
      </w:pPr>
      <w:r>
        <w:rPr>
          <w:rFonts w:ascii="Times New Roman" w:cs="Times New Roman" w:eastAsia="Times New Roman" w:hAnsi="Times New Roman"/>
          <w:sz w:val="20"/>
          <w:szCs w:val="20"/>
          <w:rtl w:val="0"/>
        </w:rPr>
        <w:t>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rPr>
          <w:rtl w:val="0"/>
        </w:rPr>
      </w:r>
    </w:p>
    <w:p w:rsidR="00000000" w:rsidDel="00000000" w:rsidP="00000000" w:rsidRDefault="00000000" w:rsidRPr="00000000" w14:paraId="000001E9">
      <w:pPr>
        <w:spacing w:after="240" w:before="360" w:lineRule="auto"/>
        <w:jc w:val="left"/>
        <w:rPr/>
      </w:pPr>
      <w:r>
        <w:rPr>
          <w:rFonts w:ascii="Times New Roman" w:cs="Times New Roman" w:eastAsia="Times New Roman" w:hAnsi="Times New Roman"/>
          <w:b w:val="1"/>
          <w:bCs w:val="1"/>
          <w:sz w:val="24"/>
          <w:szCs w:val="24"/>
          <w:rtl w:val="0"/>
        </w:rPr>
        <w:t xml:space="preserve">5 Discussion</w:t>
      </w:r>
      <w:r>
        <w:rPr>
          <w:rtl w:val="0"/>
        </w:rPr>
      </w:r>
    </w:p>
    <w:p w:rsidR="00000000" w:rsidDel="00000000" w:rsidP="00000000" w:rsidRDefault="00000000" w:rsidRPr="00000000" w14:paraId="000001EA">
      <w:pPr>
        <w:spacing w:after="160" w:before="280" w:lineRule="auto"/>
        <w:jc w:val="left"/>
        <w:rPr/>
      </w:pPr>
      <w:r>
        <w:rPr>
          <w:rFonts w:ascii="Times New Roman" w:cs="Times New Roman" w:eastAsia="Times New Roman" w:hAnsi="Times New Roman"/>
          <w:b w:val="1"/>
          <w:bCs w:val="1"/>
          <w:sz w:val="22"/>
          <w:szCs w:val="22"/>
          <w:rtl w:val="0"/>
        </w:rPr>
        <w:t xml:space="preserve">5.1 Theoretical implications</w:t>
      </w:r>
      <w:r>
        <w:rPr>
          <w:rtl w:val="0"/>
        </w:rPr>
      </w:r>
    </w:p>
    <w:p w:rsidR="00000000" w:rsidDel="00000000" w:rsidP="00000000" w:rsidRDefault="00000000" w:rsidRPr="00000000" w14:paraId="000001EB">
      <w:pPr>
        <w:spacing w:after="0" w:line="480" w:lineRule="auto"/>
        <w:ind w:firstLine="720"/>
        <w:jc w:val="both"/>
        <w:rPr/>
      </w:pPr>
      <w:r>
        <w:rPr>
          <w:rFonts w:ascii="Times New Roman" w:cs="Times New Roman" w:eastAsia="Times New Roman" w:hAnsi="Times New Roman"/>
          <w:sz w:val="20"/>
          <w:szCs w:val="20"/>
          <w:rtl w:val="0"/>
        </w:rPr>
        <w:t>Three theoretical implications follow from these findings. First, the TCI result supports a capability-depth interpretation of firm performance in internationalizing firms. Technological capability appears to operate as a non-location-bound firm-specific advantage (Rugman &amp; Verbeke, 2004) that raises the productivity intercept but does not systematically reshape the curvature of the internationalization–performance relationship. This pattern is consistent with the view that internal capability depth can improve how efficiently firms operate across markets without necessarily altering the coordination-cost dynamics that generate nonlinearity in the I–P relationship.</w:t>
      </w:r>
      <w:r>
        <w:rPr>
          <w:rtl w:val="0"/>
        </w:rPr>
      </w:r>
    </w:p>
    <w:p w:rsidR="00000000" w:rsidDel="00000000" w:rsidP="00000000" w:rsidRDefault="00000000" w:rsidRPr="00000000" w14:paraId="000001EC">
      <w:pPr>
        <w:spacing w:after="0" w:line="480" w:lineRule="auto"/>
        <w:ind w:firstLine="720"/>
        <w:jc w:val="both"/>
        <w:rPr/>
      </w:pPr>
      <w:r>
        <w:rPr>
          <w:rFonts w:ascii="Times New Roman" w:cs="Times New Roman" w:eastAsia="Times New Roman" w:hAnsi="Times New Roman"/>
          <w:sz w:val="20"/>
          <w:szCs w:val="20"/>
          <w:rtl w:val="0"/>
        </w:rPr>
        <w:t>Second, the present evidence qualifies rather than overturns the conventional nonlinear I–P literature (Contractor et al., 2003; Hitt et al., 1997; Lu &amp; Beamish, 2004; Marano et al., 2016). The baseline relationship remains mildly curved, but the negative right-hand side of the curve is not formally established within the observed export-intensity range. A useful interpretation is that, in a digital-frontier institutional environment, cross-border coordination costs do not disappear; instead, they are partially reallocated. Mature digital infrastructure reduces basic communication, transaction, and information frictions, which can flatten the right-side decline of the curve within the export-intensity range most firms actually occupy. Under such conditions, the classic inverted-U may still exist in principle, but its turning point is shifted toward the extreme upper tail of internationalization, where empirical observations are sparse in the present sample. This reading positions the contribution as a boundary-condition refinement rather than a competing claim: the I–P curvature documented in earlier samples drawn primarily from pre-digital and transitional-digital economies may not generalize to digital-frontier institutional environments without explicit specification of the digital-infrastructure boundary under which it holds.</w:t>
      </w:r>
      <w:r>
        <w:rPr>
          <w:rtl w:val="0"/>
        </w:rPr>
      </w:r>
    </w:p>
    <w:p w:rsidR="00000000" w:rsidDel="00000000" w:rsidP="00000000" w:rsidRDefault="00000000" w:rsidRPr="00000000" w14:paraId="000001ED">
      <w:pPr>
        <w:spacing w:after="0" w:line="480" w:lineRule="auto"/>
        <w:ind w:firstLine="720"/>
        <w:jc w:val="both"/>
        <w:rPr/>
      </w:pPr>
      <w:r>
        <w:rPr>
          <w:rFonts w:ascii="Times New Roman" w:cs="Times New Roman" w:eastAsia="Times New Roman" w:hAnsi="Times New Roman"/>
          <w:sz w:val="20"/>
          <w:szCs w:val="20"/>
          <w:rtl w:val="0"/>
        </w:rPr>
        <w:t>Third, the DAI result suggests that digital adoption in a digitally mature economy is best understood as a conditional scaling complement rather than as a universal productivity premium. When basic digital infrastructure is already widespread, digital adoption is less likely to differentiate firms uniformly across the full export-intensity distribution. Its productivity relevance becomes stronger when firms reach high export intensity, because digital interfaces and transaction systems can then be amortized across a larger volume of cross-border exchanges, denser information flows, and more demanding multi-market coordination tasks. This interpretation also clarifies why the construct should be labeled digital adoption rather than digital capability. The available WBES indicators capture firms’ uptake of digital interfaces and transaction-enabling mechanisms, not deeper digitally integrated organizational capabilities. Distinguishing DAI from TCI therefore does more than improve terminology; it clarifies that firm-internal capability depth and digitally enabled cross-border orchestration are analytically distinct sources of performance heterogeneity. In the present setting, the observed DAI effect should be understood as evidence about the productivity relevance of Tier 1–2 digitalization in a digital-frontier economy, not as direct evidence about deeper digitally integrated organizational capability.</w:t>
      </w:r>
      <w:r>
        <w:rPr>
          <w:rtl w:val="0"/>
        </w:rPr>
      </w:r>
      <w:r>
        <w:rPr>
          <w:rFonts w:ascii="Times New Roman" w:hAnsi="Times New Roman"/>
          <w:sz w:val="22"/>
        </w:rPr>
      </w:r>
    </w:p>
    <w:p w:rsidR="00000000" w:rsidDel="00000000" w:rsidP="00000000" w:rsidRDefault="00000000" w:rsidRPr="00000000" w14:paraId="000001EE">
      <w:pPr>
        <w:spacing w:after="160" w:before="280" w:lineRule="auto"/>
        <w:jc w:val="left"/>
        <w:rPr/>
      </w:pPr>
      <w:r>
        <w:rPr>
          <w:rFonts w:ascii="Times New Roman" w:cs="Times New Roman" w:eastAsia="Times New Roman" w:hAnsi="Times New Roman"/>
          <w:b w:val="1"/>
          <w:bCs w:val="1"/>
          <w:sz w:val="22"/>
          <w:szCs w:val="22"/>
          <w:rtl w:val="0"/>
        </w:rPr>
        <w:t xml:space="preserve">5.2 Managerial implications</w:t>
      </w:r>
      <w:r>
        <w:rPr>
          <w:rtl w:val="0"/>
        </w:rPr>
      </w:r>
    </w:p>
    <w:p w:rsidR="00000000" w:rsidDel="00000000" w:rsidP="00000000" w:rsidRDefault="00000000" w:rsidRPr="00000000" w14:paraId="000001EF">
      <w:pPr>
        <w:spacing w:after="0" w:line="480" w:lineRule="auto"/>
        <w:ind w:firstLine="720"/>
        <w:jc w:val="both"/>
        <w:rPr/>
      </w:pPr>
      <w:r>
        <w:rPr>
          <w:rFonts w:ascii="Times New Roman" w:cs="Times New Roman" w:eastAsia="Times New Roman" w:hAnsi="Times New Roman"/>
          <w:sz w:val="20"/>
          <w:szCs w:val="20"/>
          <w:rtl w:val="0"/>
        </w:rPr>
        <w:t>For firms operating in digital-frontier settings, the findings suggest that investments in digital adoption are most strongly associated with productivity advantages when firms already operate at high export intensity. In such cases, digital interfaces, payment systems, and related transaction-enabling tools appear to function as scaling mechanisms that help firms coordinate a larger volume of cross-border activity more efficiently. For firms that are already deeply engaged in export markets, the implication is therefore strategic rather than merely symbolic: foundational digital systems seem to matter most when coordination demands across customers, suppliers, and foreign-market transactions become dense enough for those systems to be used intensively.</w:t>
      </w:r>
      <w:r>
        <w:rPr>
          <w:rtl w:val="0"/>
        </w:rPr>
      </w:r>
    </w:p>
    <w:p w:rsidR="00000000" w:rsidDel="00000000" w:rsidP="00000000" w:rsidRDefault="00000000" w:rsidRPr="00000000" w14:paraId="000001EF">
      <w:pPr>
        <w:spacing w:after="0" w:line="480" w:lineRule="auto"/>
        <w:ind w:firstLine="720"/>
        <w:jc w:val="both"/>
        <w:rPr/>
      </w:pPr>
      <w:r>
        <w:rPr>
          <w:rFonts w:ascii="Times New Roman" w:cs="Times New Roman" w:eastAsia="Times New Roman" w:hAnsi="Times New Roman"/>
          <w:sz w:val="20"/>
          <w:szCs w:val="20"/>
          <w:rtl w:val="0"/>
        </w:rPr>
        <w:t>For firms concentrated in domestic markets or at low export intensity, digital adoption may still be beneficial, but the productivity differentials appear smaller and less distinctive. In a digitally mature economy, basic digital functionality is already widespread, so adopting such tools may no longer generate a large standalone productivity premium for all firms equally. For firms in the intermediate export-intensity range, the results suggest caution in expecting immediate labour-productivity gains from digital adoption alone. The evidence does not indicate a strong penalty in this range, but neither does it indicate reliably large gains. Managerially, this implies that digital adoption in this segment should be aligned with broader strategic objectives such as market access, customer integration, supplier coordination, and future export scaling rather than justified only on the basis of short-run productivity returns.</w:t>
      </w:r>
      <w:r>
        <w:rPr>
          <w:rtl w:val="0"/>
        </w:rPr>
      </w:r>
    </w:p>
    <w:p w:rsidR="00000000" w:rsidDel="00000000" w:rsidP="00000000" w:rsidRDefault="00000000" w:rsidRPr="00000000" w14:paraId="000001F0">
      <w:pPr>
        <w:spacing w:after="0" w:line="480" w:lineRule="auto"/>
        <w:ind w:firstLine="720"/>
        <w:jc w:val="both"/>
        <w:rPr/>
      </w:pPr>
      <w:r>
        <w:rPr>
          <w:rFonts w:ascii="Times New Roman" w:cs="Times New Roman" w:eastAsia="Times New Roman" w:hAnsi="Times New Roman"/>
          <w:sz w:val="20"/>
          <w:szCs w:val="20"/>
          <w:rtl w:val="0"/>
        </w:rPr>
        <w:t>More broadly, the findings imply that managers should avoid treating technological capability and digital adoption as interchangeable investment categories. Investments in technological capability appear to support a broader productivity base, whereas investments in digital adoption seem to become especially valuable when firms face the coordination intensity associated with deeper internationalization. For managerial decision making, this means that capability-building and digitalization strategies should be sequenced and matched to the firm’s actual stage of export expansion rather than pursued as a single undifferentiated digital capability agenda.</w:t>
      </w:r>
      <w:r>
        <w:rPr>
          <w:rtl w:val="0"/>
        </w:rPr>
      </w:r>
    </w:p>
    <w:p w:rsidR="00000000" w:rsidDel="00000000" w:rsidP="00000000" w:rsidRDefault="00000000" w:rsidRPr="00000000" w14:paraId="000001F3">
      <w:pPr>
        <w:spacing w:after="240" w:before="360" w:lineRule="auto"/>
        <w:jc w:val="left"/>
        <w:rPr/>
      </w:pPr>
      <w:r>
        <w:rPr>
          <w:rFonts w:ascii="Times New Roman" w:cs="Times New Roman" w:eastAsia="Times New Roman" w:hAnsi="Times New Roman"/>
          <w:b w:val="1"/>
          <w:bCs w:val="1"/>
          <w:sz w:val="24"/>
          <w:szCs w:val="24"/>
          <w:rtl w:val="0"/>
        </w:rPr>
        <w:t>6 Conclusion</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This study revisits the internationalization–performance relationship in a digital-frontier economy by distinguishing technological capability from digital adoption and examining how each relates to labour productivity in Singapore. Using World Bank Enterprise Survey microdata for Singapore 2023, the analysis shows that technological capability is positively associated with productivity and operates primarily as a level-shift effect, whereas digital adoption shows conditional relevance that becomes more positive at higher levels of export intensity.</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The findings also refine the interpretation of the nonlinear I–P literature in digitally mature settings. Within the observed export-intensity range, the baseline pattern is best characterized as predominantly monotonic positive with mild quadratic curvature rather than as a formally identified inverted-U. Read in this way, the evidence does not overturn the established I–P literature, but instead suggests that, in digital-frontier environments, the right-side decline of the curve may be attenuated or shifted toward sparsely populated levels of export intensity.</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More broadly, the study contributes to international business research by sharpening construct validity and clarifying a boundary condition of digital internationalization. Technological capability appears to capture firm-internal capability depth, whereas foundational digital adoption is better understood as a contingent scaling resource whose productivity relevance becomes more visible as cross-border coordination demands increase.</w:t>
      </w:r>
      <w:r>
        <w:rPr>
          <w:rtl w:val="0"/>
        </w:rPr>
      </w:r>
    </w:p>
    <w:p w:rsidR="00000000" w:rsidDel="00000000" w:rsidP="00000000" w:rsidRDefault="00000000" w:rsidRPr="00000000" w14:paraId="000001F3">
      <w:pPr>
        <w:spacing w:after="240" w:before="360" w:lineRule="auto"/>
        <w:jc w:val="left"/>
        <w:rPr/>
      </w:pPr>
      <w:r>
        <w:rPr>
          <w:rFonts w:ascii="Times New Roman" w:cs="Times New Roman" w:eastAsia="Times New Roman" w:hAnsi="Times New Roman"/>
          <w:b w:val="1"/>
          <w:bCs w:val="1"/>
          <w:sz w:val="24"/>
          <w:szCs w:val="24"/>
          <w:rtl w:val="0"/>
        </w:rPr>
        <w:t>7 Limitations and Future Research</w:t>
      </w:r>
      <w:r>
        <w:rPr>
          <w:rtl w:val="0"/>
        </w:rPr>
      </w:r>
    </w:p>
    <w:p w:rsidR="00000000" w:rsidDel="00000000" w:rsidP="00000000" w:rsidRDefault="00000000" w:rsidRPr="00000000" w14:paraId="000001F4">
      <w:pPr>
        <w:spacing w:after="0" w:line="480" w:lineRule="auto"/>
        <w:ind w:firstLine="720"/>
        <w:jc w:val="both"/>
        <w:rPr/>
      </w:pPr>
      <w:r>
        <w:rPr>
          <w:rFonts w:ascii="Times New Roman" w:cs="Times New Roman" w:eastAsia="Times New Roman" w:hAnsi="Times New Roman"/>
          <w:sz w:val="20"/>
          <w:szCs w:val="20"/>
          <w:rtl w:val="0"/>
        </w:rPr>
        <w:t>Three limitations warrant explicit caution in interpreting the findings. First, the analysis is cross-sectional, and the identification strategy is therefore associational rather than causal. The observed positive associations among TCI, DAI, internationalization, and labour productivity admit at least two non-causal interpretations consistent with the data. The first is productivity-driven self-selection into digital adoption: more productive firms may have the financial slack and managerial bandwidth to install electronic-payment systems and digital interfaces, so the observed DAI–productivity association may reflect this selection channel rather than a productivity-enhancing effect of digital adoption per se. The second is productivity-driven self-selection into international markets, in which only firms above a productivity threshold profitably overcome the fixed costs of exporting; the observed FSTS–DAI interaction could therefore reflect productivity-induced co-movement of export intensity and digital-system utilization rather than a digital-system-induced productivity gain. Standard ex post diagnostics, such as non-significant inverse Mills ratios from Heckman-style models, do not constitute affirmative evidence of unbiasedness in the absence of a valid exclusion restriction (Wolfolds &amp; Siegel, 2019). The disciplined response is therefore to restrict interpretation to a boundary-condition claim—that the I–P curvature and the marginal value of digital adoption appear systematically conditional on export intensity in a digital-frontier setting—while leaving causal identification to designs that cannot be implemented in the present study.</w:t>
      </w:r>
      <w:r>
        <w:rPr>
          <w:rtl w:val="0"/>
        </w:rPr>
      </w:r>
    </w:p>
    <w:p w:rsidR="00000000" w:rsidDel="00000000" w:rsidP="00000000" w:rsidRDefault="00000000" w:rsidRPr="00000000" w14:paraId="000001F5">
      <w:pPr>
        <w:spacing w:after="0" w:line="480" w:lineRule="auto"/>
        <w:ind w:firstLine="720"/>
        <w:jc w:val="both"/>
        <w:rPr/>
      </w:pPr>
      <w:r>
        <w:rPr>
          <w:rFonts w:ascii="Gungsuh" w:cs="Gungsuh" w:eastAsia="Gungsuh" w:hAnsi="Gungsuh"/>
          <w:sz w:val="20"/>
          <w:szCs w:val="20"/>
          <w:rtl w:val="0"/>
        </w:rPr>
        <w:t>Second, the present sample contains a thin right tail of high-intensity exporters, with only 18% of firms reporting non-zero exports and only 3% exceeding 50% export intensity. This constrains statistical precision exactly where the moderation effect is theoretically most relevant and suggests caution in generalizing from the upper end of the export distribution. Two specific consequences follow. First, the apparent quadratic turning point of the I–P curve at FSTS 82.4 on the original uncentered scale is identified primarily from a sparsely populated region of the FSTS distribution and should therefore be treated as a within-sample descriptive feature rather than as a structurally identified inflection. Second, the DAI moderation pattern in Table 4 attains conventional significance only at FSTS 70 and FSTS 100, and the exporters-only subsample in Table 3 yields a substantially lower adjusted R² than the full-sample specifications. The scale-enabling-complement finding is therefore best characterized as suggestive evidence consistent with a digital-frontier boundary condition rather than as a structurally identified universal pattern. Replication on larger samples of high-intensity exporters from comparable digital-frontier economies, where the right tail of FSTS is denser and support-aware diagnostics can be applied more powerfully, would substantially strengthen the inference.</w:t>
      </w:r>
      <w:r>
        <w:rPr>
          <w:rtl w:val="0"/>
        </w:rPr>
      </w:r>
    </w:p>
    <w:p w:rsidR="00000000" w:rsidDel="00000000" w:rsidP="00000000" w:rsidRDefault="00000000" w:rsidRPr="00000000" w14:paraId="000001F6">
      <w:pPr>
        <w:spacing w:after="0" w:line="480" w:lineRule="auto"/>
        <w:ind w:firstLine="720"/>
        <w:jc w:val="both"/>
        <w:rPr/>
      </w:pPr>
      <w:r>
        <w:rPr>
          <w:rFonts w:ascii="Gungsuh" w:cs="Gungsuh" w:eastAsia="Gungsuh" w:hAnsi="Gungsuh"/>
          <w:sz w:val="20"/>
          <w:szCs w:val="20"/>
          <w:rtl w:val="0"/>
        </w:rPr>
        <w:t>Third, the estimated moderation effect is statistically detectable but substantively modest. The findings should therefore be treated as an initial firm-level test of a digital-frontier argument rather than as definitive evidence of a generalized boundary condition. The DAI indicators available in WBES 2023 capture Tier 1–2 digital adoption—digital presence and digital transaction usage—rather than Tier 3–4 digital capability or digital dynamic capability. Although equivalence-testing approaches (Lakens et al., 2018) could in principle quantify the support for null moderation in subsamples, the present sample size limits their power, and the more cautious reading is that absence of moderation cannot be inferred from non-significance alone. Whether the scale-enabling-complement pattern persists, attenuates, or is amplified under richer measures of digitally integrated organizational capabilities remains an open empirical question. Future research should therefore examine whether the same pattern appears in other digitally mature economies, such as Hong Kong, the Republic of Korea, and Taiwan, and under purpose-designed instruments that capture deeper digital dynamic capabilities. Future research should also extend this measurement architecture by linking WBES-type microdata, where confidentiality arrangements permit, to firm-level databases or by using purpose-built survey instruments that better capture process-level digital integration and higher-order capability depth. More broadly, future work should examine whether the scale-enabling-complement pattern operates through identifiable mechanisms such as supplier-side digital integration, customer-facing digital channels, or internal ERP integration. Causal identification, in particular, would benefit from firm-level panel data, successive enterprise-survey waves, national statistical-office registers, or proprietary databases that permit firm fixed-effects estimation. Where suitable instruments are available, such as regional digital-infrastructure rollouts or plausibly exogenous trade-policy shocks, instrumental-variable or difference-in-differences designs would further upgrade the present associational evidence to causal identification. These designs would directly test whether the boundary condition documented here—namely, that digital adoption operates as a scale-enabling complement at high export intensity in digital-frontier settings—is causally generated rather than reflecting selection on unobserved firm-level performance heterogeneity.</w:t>
      </w:r>
      <w:r>
        <w:rPr>
          <w:rtl w:val="0"/>
        </w:rPr>
      </w:r>
      <w:r>
        <w:rPr>
          <w:rFonts w:ascii="Times New Roman" w:hAnsi="Times New Roman"/>
          <w:sz w:val="22"/>
        </w:rPr>
      </w:r>
    </w:p>
    <w:p w:rsidR="00000000" w:rsidDel="00000000" w:rsidP="00000000" w:rsidRDefault="00000000" w:rsidRPr="00000000" w14:paraId="000001F8">
      <w:pPr>
        <w:pageBreakBefore w:val="1"/>
        <w:spacing w:after="240" w:before="360" w:lineRule="auto"/>
        <w:jc w:val="left"/>
        <w:rPr/>
      </w:pPr>
      <w:r>
        <w:rPr>
          <w:rFonts w:ascii="Times New Roman" w:cs="Times New Roman" w:eastAsia="Times New Roman" w:hAnsi="Times New Roman"/>
          <w:b w:val="1"/>
          <w:bCs w:val="1"/>
          <w:sz w:val="24"/>
          <w:szCs w:val="24"/>
          <w:rtl w:val="0"/>
        </w:rPr>
        <w:t xml:space="preserve">References</w:t>
      </w:r>
      <w:r>
        <w:rPr>
          <w:rtl w:val="0"/>
        </w:rPr>
      </w:r>
    </w:p>
    <w:p w:rsidR="00000000" w:rsidDel="00000000" w:rsidP="00000000" w:rsidRDefault="00000000" w:rsidRPr="00000000" w14:paraId="000001F9">
      <w:pPr>
        <w:spacing w:after="60" w:line="360" w:lineRule="auto"/>
        <w:ind w:left="720" w:hanging="720"/>
        <w:jc w:val="left"/>
        <w:rPr/>
      </w:pPr>
      <w:r>
        <w:rPr>
          <w:rFonts w:ascii="Times New Roman" w:hAnsi="Times New Roman"/>
          <w:sz w:val="20"/>
        </w:rPr>
        <w:t xml:space="preserve">Aguinis, H., Beaty, J. C., Boik, R. J., &amp; Pierce, C. A. (2005). Effect size and power in assessing moderating effects of categorical variables using multiple regression: A 30-year review. </w:t>
      </w:r>
      <w:r>
        <w:rPr>
          <w:rFonts w:ascii="Times New Roman" w:hAnsi="Times New Roman"/>
          <w:i/>
          <w:sz w:val="20"/>
        </w:rPr>
        <w:t>Journal of Applied Psychology, 90</w:t>
      </w:r>
      <w:r>
        <w:rPr>
          <w:rFonts w:ascii="Times New Roman" w:hAnsi="Times New Roman"/>
          <w:sz w:val="20"/>
        </w:rPr>
        <w:t>(1), 94–107. https://doi.org/10.1037/0021-9010.90.1.94</w:t>
      </w:r>
    </w:p>
    <w:p w:rsidR="00000000" w:rsidDel="00000000" w:rsidP="00000000" w:rsidRDefault="00000000" w:rsidRPr="00000000" w14:paraId="000001FA">
      <w:pPr>
        <w:spacing w:after="60" w:line="360" w:lineRule="auto"/>
        <w:ind w:left="720" w:hanging="720"/>
        <w:jc w:val="left"/>
        <w:rPr/>
      </w:pPr>
      <w:r>
        <w:rPr>
          <w:rFonts w:ascii="Times New Roman" w:hAnsi="Times New Roman"/>
          <w:sz w:val="20"/>
        </w:rPr>
        <w:t xml:space="preserve">Aiken, L. S., &amp; West, S. G. (1991). </w:t>
      </w:r>
      <w:r>
        <w:rPr>
          <w:rFonts w:ascii="Times New Roman" w:hAnsi="Times New Roman"/>
          <w:i/>
          <w:sz w:val="20"/>
        </w:rPr>
        <w:t>Multiple regression: Testing and interpreting interactions</w:t>
      </w:r>
      <w:r>
        <w:rPr>
          <w:rFonts w:ascii="Times New Roman" w:hAnsi="Times New Roman"/>
          <w:sz w:val="20"/>
        </w:rPr>
        <w:t>. Sage.</w:t>
      </w:r>
    </w:p>
    <w:p w:rsidR="00000000" w:rsidDel="00000000" w:rsidP="00000000" w:rsidRDefault="00000000" w:rsidRPr="00000000" w14:paraId="000001FB">
      <w:pPr>
        <w:spacing w:after="60" w:line="360" w:lineRule="auto"/>
        <w:ind w:left="720" w:hanging="720"/>
        <w:jc w:val="left"/>
        <w:rPr/>
      </w:pPr>
      <w:r>
        <w:rPr>
          <w:rFonts w:ascii="Times New Roman" w:hAnsi="Times New Roman"/>
          <w:sz w:val="20"/>
        </w:rPr>
        <w:t xml:space="preserve">Antonakis, J., Bendahan, S., Jacquart, P., &amp; Lalive, R. (2010). On making causal claims: A review and recommendations. </w:t>
      </w:r>
      <w:r>
        <w:rPr>
          <w:rFonts w:ascii="Times New Roman" w:hAnsi="Times New Roman"/>
          <w:i/>
          <w:sz w:val="20"/>
        </w:rPr>
        <w:t>The Leadership Quarterly, 21</w:t>
      </w:r>
      <w:r>
        <w:rPr>
          <w:rFonts w:ascii="Times New Roman" w:hAnsi="Times New Roman"/>
          <w:sz w:val="20"/>
        </w:rPr>
        <w:t>(6), 1086–1120. https://doi.org/10.1016/j.leaqua.2010.10.010</w:t>
      </w:r>
    </w:p>
    <w:p w:rsidR="00000000" w:rsidDel="00000000" w:rsidP="00000000" w:rsidRDefault="00000000" w:rsidRPr="00000000" w14:paraId="000001FC">
      <w:pPr>
        <w:spacing w:after="60" w:line="360" w:lineRule="auto"/>
        <w:ind w:left="720" w:hanging="720"/>
        <w:jc w:val="left"/>
        <w:rPr/>
      </w:pPr>
      <w:r>
        <w:rPr>
          <w:rFonts w:ascii="Times New Roman" w:hAnsi="Times New Roman"/>
          <w:sz w:val="20"/>
        </w:rPr>
        <w:t xml:space="preserve">Avenyo, E. K., Tregenna, F., &amp; Kraemer-Mbula, E. (2021). Do productive capabilities affect export performance? Microeconomic evidence from sub-Saharan Africa. </w:t>
      </w:r>
      <w:r>
        <w:rPr>
          <w:rFonts w:ascii="Times New Roman" w:hAnsi="Times New Roman"/>
          <w:i/>
          <w:sz w:val="20"/>
        </w:rPr>
        <w:t>The European Journal of Development Research, 33</w:t>
      </w:r>
      <w:r>
        <w:rPr>
          <w:rFonts w:ascii="Times New Roman" w:hAnsi="Times New Roman"/>
          <w:sz w:val="20"/>
        </w:rPr>
        <w:t>(2), 304–329. https://doi.org/10.1057/s41287-020-00328-2</w:t>
      </w:r>
    </w:p>
    <w:p w:rsidR="00000000" w:rsidDel="00000000" w:rsidP="00000000" w:rsidRDefault="00000000" w:rsidRPr="00000000" w14:paraId="000001FD">
      <w:pPr>
        <w:spacing w:after="60" w:line="360" w:lineRule="auto"/>
        <w:ind w:left="720" w:hanging="720"/>
        <w:jc w:val="left"/>
        <w:rPr/>
      </w:pPr>
      <w:r>
        <w:rPr>
          <w:rFonts w:ascii="Times New Roman" w:hAnsi="Times New Roman"/>
          <w:sz w:val="20"/>
        </w:rPr>
        <w:t xml:space="preserve">Banalieva, E. R., &amp; Dhanaraj, C. (2019). Internalization theory for the digital economy. </w:t>
      </w:r>
      <w:r>
        <w:rPr>
          <w:rFonts w:ascii="Times New Roman" w:hAnsi="Times New Roman"/>
          <w:i/>
          <w:sz w:val="20"/>
        </w:rPr>
        <w:t>Journal of International Business Studies, 50</w:t>
      </w:r>
      <w:r>
        <w:rPr>
          <w:rFonts w:ascii="Times New Roman" w:hAnsi="Times New Roman"/>
          <w:sz w:val="20"/>
        </w:rPr>
        <w:t>(8), 1372–1387. https://doi.org/10.1057/s41267-019-00243-7</w:t>
      </w:r>
    </w:p>
    <w:p w:rsidR="00000000" w:rsidDel="00000000" w:rsidP="00000000" w:rsidRDefault="00000000" w:rsidRPr="00000000" w14:paraId="000001FE">
      <w:pPr>
        <w:spacing w:after="60" w:line="360" w:lineRule="auto"/>
        <w:ind w:left="720" w:hanging="720"/>
        <w:jc w:val="left"/>
        <w:rPr/>
      </w:pPr>
      <w:r>
        <w:rPr>
          <w:rFonts w:ascii="Times New Roman" w:hAnsi="Times New Roman"/>
          <w:sz w:val="20"/>
        </w:rPr>
        <w:t xml:space="preserve">Barney, J. (1991). Firm resources and sustained competitive advantage. </w:t>
      </w:r>
      <w:r>
        <w:rPr>
          <w:rFonts w:ascii="Times New Roman" w:hAnsi="Times New Roman"/>
          <w:i/>
          <w:sz w:val="20"/>
        </w:rPr>
        <w:t>Journal of Management, 17</w:t>
      </w:r>
      <w:r>
        <w:rPr>
          <w:rFonts w:ascii="Times New Roman" w:hAnsi="Times New Roman"/>
          <w:sz w:val="20"/>
        </w:rPr>
        <w:t>(1), 99–120. https://doi.org/10.1177/014920639101700108</w:t>
      </w:r>
    </w:p>
    <w:p w:rsidR="00000000" w:rsidDel="00000000" w:rsidP="00000000" w:rsidRDefault="00000000" w:rsidRPr="00000000" w14:paraId="000001FF">
      <w:pPr>
        <w:spacing w:after="60" w:line="360" w:lineRule="auto"/>
        <w:ind w:left="720" w:hanging="720"/>
        <w:jc w:val="left"/>
        <w:rPr/>
      </w:pPr>
      <w:r>
        <w:rPr>
          <w:rFonts w:ascii="Times New Roman" w:hAnsi="Times New Roman"/>
          <w:sz w:val="20"/>
        </w:rPr>
        <w:t xml:space="preserve">Bharadwaj, A., El Sawy, O. A., Pavlou, P. A., &amp; Venkatraman, N. (2013). Digital business strategy: Toward a next generation of insights. </w:t>
      </w:r>
      <w:r>
        <w:rPr>
          <w:rFonts w:ascii="Times New Roman" w:hAnsi="Times New Roman"/>
          <w:i/>
          <w:sz w:val="20"/>
        </w:rPr>
        <w:t>MIS Quarterly, 37</w:t>
      </w:r>
      <w:r>
        <w:rPr>
          <w:rFonts w:ascii="Times New Roman" w:hAnsi="Times New Roman"/>
          <w:sz w:val="20"/>
        </w:rPr>
        <w:t>(2), 471–482. https://doi.org/10.25300/MISQ/2013/37:2.3</w:t>
      </w:r>
    </w:p>
    <w:p w:rsidR="00000000" w:rsidDel="00000000" w:rsidP="00000000" w:rsidRDefault="00000000" w:rsidRPr="00000000" w14:paraId="00000200">
      <w:pPr>
        <w:spacing w:after="60" w:line="360" w:lineRule="auto"/>
        <w:ind w:left="720" w:hanging="720"/>
        <w:jc w:val="left"/>
        <w:rPr/>
      </w:pPr>
      <w:r>
        <w:rPr>
          <w:rFonts w:ascii="Times New Roman" w:hAnsi="Times New Roman"/>
          <w:sz w:val="20"/>
        </w:rPr>
        <w:t xml:space="preserve">Brynjolfsson, E., Rock, D., &amp; Syverson, C. (2021). The productivity J-curve: How intangibles complement general purpose technologies. </w:t>
      </w:r>
      <w:r>
        <w:rPr>
          <w:rFonts w:ascii="Times New Roman" w:hAnsi="Times New Roman"/>
          <w:i/>
          <w:sz w:val="20"/>
        </w:rPr>
        <w:t>American Economic Journal: Macroeconomics, 13</w:t>
      </w:r>
      <w:r>
        <w:rPr>
          <w:rFonts w:ascii="Times New Roman" w:hAnsi="Times New Roman"/>
          <w:sz w:val="20"/>
        </w:rPr>
        <w:t>(1), 333–372. https://doi.org/10.1257/mac.20180386</w:t>
      </w:r>
    </w:p>
    <w:p w:rsidR="00000000" w:rsidDel="00000000" w:rsidP="00000000" w:rsidRDefault="00000000" w:rsidRPr="00000000" w14:paraId="00000201">
      <w:pPr>
        <w:spacing w:after="60" w:line="360" w:lineRule="auto"/>
        <w:ind w:left="720" w:hanging="720"/>
        <w:jc w:val="left"/>
        <w:rPr/>
      </w:pPr>
      <w:r>
        <w:rPr>
          <w:rFonts w:ascii="Times New Roman" w:hAnsi="Times New Roman"/>
          <w:sz w:val="20"/>
        </w:rPr>
        <w:t xml:space="preserve">Cohen, J. (1988). </w:t>
      </w:r>
      <w:r>
        <w:rPr>
          <w:rFonts w:ascii="Times New Roman" w:hAnsi="Times New Roman"/>
          <w:i/>
          <w:sz w:val="20"/>
        </w:rPr>
        <w:t>Statistical power analysis for the behavioral sciences</w:t>
      </w:r>
      <w:r>
        <w:rPr>
          <w:rFonts w:ascii="Times New Roman" w:hAnsi="Times New Roman"/>
          <w:sz w:val="20"/>
        </w:rPr>
        <w:t xml:space="preserve"> (2nd ed.). Lawrence Erlbaum.</w:t>
      </w:r>
    </w:p>
    <w:p w:rsidR="00000000" w:rsidDel="00000000" w:rsidP="00000000" w:rsidRDefault="00000000" w:rsidRPr="00000000" w14:paraId="00000202">
      <w:pPr>
        <w:spacing w:after="60" w:line="360" w:lineRule="auto"/>
        <w:ind w:left="720" w:hanging="720"/>
        <w:jc w:val="left"/>
        <w:rPr/>
      </w:pPr>
      <w:r>
        <w:rPr>
          <w:rFonts w:ascii="Times New Roman" w:hAnsi="Times New Roman"/>
          <w:sz w:val="20"/>
        </w:rPr>
        <w:t xml:space="preserve">Cohen, W. M., &amp; Levinthal, D. A. (1990). Absorptive capacity: A new perspective on learning and innovation. </w:t>
      </w:r>
      <w:r>
        <w:rPr>
          <w:rFonts w:ascii="Times New Roman" w:hAnsi="Times New Roman"/>
          <w:i/>
          <w:sz w:val="20"/>
        </w:rPr>
        <w:t>Administrative Science Quarterly, 35</w:t>
      </w:r>
      <w:r>
        <w:rPr>
          <w:rFonts w:ascii="Times New Roman" w:hAnsi="Times New Roman"/>
          <w:sz w:val="20"/>
        </w:rPr>
        <w:t>(1), 128–152. https://doi.org/10.2307/2393553</w:t>
      </w:r>
    </w:p>
    <w:p w:rsidR="00000000" w:rsidDel="00000000" w:rsidP="00000000" w:rsidRDefault="00000000" w:rsidRPr="00000000" w14:paraId="00000203">
      <w:pPr>
        <w:spacing w:after="60" w:line="360" w:lineRule="auto"/>
        <w:ind w:left="720" w:hanging="720"/>
        <w:jc w:val="left"/>
        <w:rPr/>
      </w:pPr>
      <w:r>
        <w:rPr>
          <w:rFonts w:ascii="Times New Roman" w:hAnsi="Times New Roman"/>
          <w:sz w:val="20"/>
        </w:rPr>
        <w:t xml:space="preserve">Coltman, T., Devinney, T. M., Midgley, D. F., &amp; Venaik, S. (2008). Formative versus reflective measurement models: Two applications of formative measurement. </w:t>
      </w:r>
      <w:r>
        <w:rPr>
          <w:rFonts w:ascii="Times New Roman" w:hAnsi="Times New Roman"/>
          <w:i/>
          <w:sz w:val="20"/>
        </w:rPr>
        <w:t>Journal of Business Research, 61</w:t>
      </w:r>
      <w:r>
        <w:rPr>
          <w:rFonts w:ascii="Times New Roman" w:hAnsi="Times New Roman"/>
          <w:sz w:val="20"/>
        </w:rPr>
        <w:t>(12), 1250–1262. https://doi.org/10.1016/j.jbusres.2008.01.013</w:t>
      </w:r>
    </w:p>
    <w:p w:rsidR="00000000" w:rsidDel="00000000" w:rsidP="00000000" w:rsidRDefault="00000000" w:rsidRPr="00000000" w14:paraId="00000204">
      <w:pPr>
        <w:spacing w:after="60" w:line="360" w:lineRule="auto"/>
        <w:ind w:left="720" w:hanging="720"/>
        <w:jc w:val="left"/>
        <w:rPr/>
      </w:pPr>
      <w:r>
        <w:rPr>
          <w:rFonts w:ascii="Times New Roman" w:hAnsi="Times New Roman"/>
          <w:sz w:val="20"/>
        </w:rPr>
        <w:t xml:space="preserve">Contractor, F. J. (2007). Is international business good for companies? The evolutionary or multi-stage theory of internationalization vs. the transaction cost perspective. </w:t>
      </w:r>
      <w:r>
        <w:rPr>
          <w:rFonts w:ascii="Times New Roman" w:hAnsi="Times New Roman"/>
          <w:i/>
          <w:sz w:val="20"/>
        </w:rPr>
        <w:t>Management International Review, 47</w:t>
      </w:r>
      <w:r>
        <w:rPr>
          <w:rFonts w:ascii="Times New Roman" w:hAnsi="Times New Roman"/>
          <w:sz w:val="20"/>
        </w:rPr>
        <w:t>(3), 453–475. https://doi.org/10.1007/s11575-007-0024-2</w:t>
      </w:r>
    </w:p>
    <w:p w:rsidR="00000000" w:rsidDel="00000000" w:rsidP="00000000" w:rsidRDefault="00000000" w:rsidRPr="00000000" w14:paraId="00000205">
      <w:pPr>
        <w:spacing w:after="60" w:line="360" w:lineRule="auto"/>
        <w:ind w:left="720" w:hanging="720"/>
        <w:jc w:val="left"/>
        <w:rPr/>
      </w:pPr>
      <w:r>
        <w:rPr>
          <w:rFonts w:ascii="Times New Roman" w:hAnsi="Times New Roman"/>
          <w:sz w:val="20"/>
        </w:rPr>
        <w:t xml:space="preserve">Contractor, F. J., Kundu, S. K., &amp; Hsu, C.-C. (2003). A three-stage theory of international expansion: The link between multinationality and performance in the service sector. </w:t>
      </w:r>
      <w:r>
        <w:rPr>
          <w:rFonts w:ascii="Times New Roman" w:hAnsi="Times New Roman"/>
          <w:i/>
          <w:sz w:val="20"/>
        </w:rPr>
        <w:t>Journal of International Business Studies, 34</w:t>
      </w:r>
      <w:r>
        <w:rPr>
          <w:rFonts w:ascii="Times New Roman" w:hAnsi="Times New Roman"/>
          <w:sz w:val="20"/>
        </w:rPr>
        <w:t>(1), 5–18. https://doi.org/10.1057/palgrave.jibs.8400003</w:t>
      </w:r>
    </w:p>
    <w:p w:rsidR="00000000" w:rsidDel="00000000" w:rsidP="00000000" w:rsidRDefault="00000000" w:rsidRPr="00000000" w14:paraId="00000206">
      <w:pPr>
        <w:spacing w:after="60" w:line="360" w:lineRule="auto"/>
        <w:ind w:left="720" w:hanging="720"/>
        <w:jc w:val="left"/>
        <w:rPr/>
      </w:pPr>
      <w:r>
        <w:rPr>
          <w:rFonts w:ascii="Times New Roman" w:hAnsi="Times New Roman"/>
          <w:sz w:val="20"/>
        </w:rPr>
        <w:t xml:space="preserve">Haans, R. F. J., Pieters, C., &amp; He, Z.-L. (2016). Thinking about U: Theorizing and testing U- and inverted U-shaped relationships in strategy research. </w:t>
      </w:r>
      <w:r>
        <w:rPr>
          <w:rFonts w:ascii="Times New Roman" w:hAnsi="Times New Roman"/>
          <w:i/>
          <w:sz w:val="20"/>
        </w:rPr>
        <w:t>Strategic Management Journal, 37</w:t>
      </w:r>
      <w:r>
        <w:rPr>
          <w:rFonts w:ascii="Times New Roman" w:hAnsi="Times New Roman"/>
          <w:sz w:val="20"/>
        </w:rPr>
        <w:t>(7), 1177–1195. https://doi.org/10.1002/smj.2399</w:t>
      </w:r>
    </w:p>
    <w:p w:rsidR="00000000" w:rsidDel="00000000" w:rsidP="00000000" w:rsidRDefault="00000000" w:rsidRPr="00000000" w14:paraId="00000207">
      <w:pPr>
        <w:spacing w:after="60" w:line="360" w:lineRule="auto"/>
        <w:ind w:left="720" w:hanging="720"/>
        <w:jc w:val="left"/>
        <w:rPr/>
      </w:pPr>
      <w:r>
        <w:rPr>
          <w:rFonts w:ascii="Times New Roman" w:hAnsi="Times New Roman"/>
          <w:sz w:val="20"/>
        </w:rPr>
        <w:t xml:space="preserve">Hambrick, D. C., &amp; Mason, P. A. (1984). Upper echelons: The organization as a reflection of its top managers. </w:t>
      </w:r>
      <w:r>
        <w:rPr>
          <w:rFonts w:ascii="Times New Roman" w:hAnsi="Times New Roman"/>
          <w:i/>
          <w:sz w:val="20"/>
        </w:rPr>
        <w:t>Academy of Management Review, 9</w:t>
      </w:r>
      <w:r>
        <w:rPr>
          <w:rFonts w:ascii="Times New Roman" w:hAnsi="Times New Roman"/>
          <w:sz w:val="20"/>
        </w:rPr>
        <w:t>(2), 193–206. https://doi.org/10.5465/amr.1984.4277628</w:t>
      </w:r>
    </w:p>
    <w:p w:rsidR="00000000" w:rsidDel="00000000" w:rsidP="00000000" w:rsidRDefault="00000000" w:rsidRPr="00000000" w14:paraId="00000208">
      <w:pPr>
        <w:spacing w:after="60" w:line="360" w:lineRule="auto"/>
        <w:ind w:left="720" w:hanging="720"/>
        <w:jc w:val="left"/>
        <w:rPr/>
      </w:pPr>
      <w:r>
        <w:rPr>
          <w:rFonts w:ascii="Times New Roman" w:hAnsi="Times New Roman"/>
          <w:sz w:val="20"/>
        </w:rPr>
        <w:t xml:space="preserve">Hitt, M. A., Hoskisson, R. E., &amp; Kim, H. (1997). International diversification: Effects on innovation and firm performance in product-diversified firms. </w:t>
      </w:r>
      <w:r>
        <w:rPr>
          <w:rFonts w:ascii="Times New Roman" w:hAnsi="Times New Roman"/>
          <w:i/>
          <w:sz w:val="20"/>
        </w:rPr>
        <w:t>Academy of Management Journal, 40</w:t>
      </w:r>
      <w:r>
        <w:rPr>
          <w:rFonts w:ascii="Times New Roman" w:hAnsi="Times New Roman"/>
          <w:sz w:val="20"/>
        </w:rPr>
        <w:t>(4), 767–798. https://doi.org/10.5465/256948</w:t>
      </w:r>
    </w:p>
    <w:p w:rsidR="00000000" w:rsidDel="00000000" w:rsidP="00000000" w:rsidRDefault="00000000" w:rsidRPr="00000000" w14:paraId="00000209">
      <w:pPr>
        <w:spacing w:after="60" w:line="360" w:lineRule="auto"/>
        <w:ind w:left="720" w:hanging="720"/>
        <w:jc w:val="left"/>
        <w:rPr/>
      </w:pPr>
      <w:r>
        <w:rPr>
          <w:rFonts w:ascii="Times New Roman" w:hAnsi="Times New Roman"/>
          <w:sz w:val="20"/>
        </w:rPr>
        <w:t xml:space="preserve">Krammer, S. M. S., Strange, R., &amp; Lashitew, A. (2018). The export performance of emerging economy firms. </w:t>
      </w:r>
      <w:r>
        <w:rPr>
          <w:rFonts w:ascii="Times New Roman" w:hAnsi="Times New Roman"/>
          <w:i/>
          <w:sz w:val="20"/>
        </w:rPr>
        <w:t>International Business Review, 27</w:t>
      </w:r>
      <w:r>
        <w:rPr>
          <w:rFonts w:ascii="Times New Roman" w:hAnsi="Times New Roman"/>
          <w:sz w:val="20"/>
        </w:rPr>
        <w:t>(1), 218–230. https://doi.org/10.1016/j.ibusrev.2017.07.003</w:t>
      </w:r>
    </w:p>
    <w:p w:rsidR="00000000" w:rsidDel="00000000" w:rsidP="00000000" w:rsidRDefault="00000000" w:rsidRPr="00000000" w14:paraId="0000020A">
      <w:pPr>
        <w:spacing w:after="60" w:line="360" w:lineRule="auto"/>
        <w:ind w:left="720" w:hanging="720"/>
        <w:jc w:val="left"/>
        <w:rPr/>
      </w:pPr>
      <w:r>
        <w:rPr>
          <w:rFonts w:ascii="Times New Roman" w:hAnsi="Times New Roman"/>
          <w:sz w:val="20"/>
        </w:rPr>
        <w:t xml:space="preserve">Lakens, D., Scheel, A. M., &amp; Isager, P. M. (2018). Equivalence testing for psychological research: A tutorial. </w:t>
      </w:r>
      <w:r>
        <w:rPr>
          <w:rFonts w:ascii="Times New Roman" w:hAnsi="Times New Roman"/>
          <w:i/>
          <w:sz w:val="20"/>
        </w:rPr>
        <w:t>Advances in Methods and Practices in Psychological Science, 1</w:t>
      </w:r>
      <w:r>
        <w:rPr>
          <w:rFonts w:ascii="Times New Roman" w:hAnsi="Times New Roman"/>
          <w:sz w:val="20"/>
        </w:rPr>
        <w:t>(2), 259–269. https://doi.org/10.1177/2515245918770963</w:t>
      </w:r>
    </w:p>
    <w:p w:rsidR="00000000" w:rsidDel="00000000" w:rsidP="00000000" w:rsidRDefault="00000000" w:rsidRPr="00000000" w14:paraId="0000020B">
      <w:pPr>
        <w:spacing w:after="60" w:line="360" w:lineRule="auto"/>
        <w:ind w:left="720" w:hanging="720"/>
        <w:jc w:val="left"/>
        <w:rPr/>
      </w:pPr>
      <w:r>
        <w:rPr>
          <w:rFonts w:ascii="Times New Roman" w:hAnsi="Times New Roman"/>
          <w:sz w:val="20"/>
        </w:rPr>
        <w:t xml:space="preserve">Lall, S. (1992). Technological capabilities and industrialization. </w:t>
      </w:r>
      <w:r>
        <w:rPr>
          <w:rFonts w:ascii="Times New Roman" w:hAnsi="Times New Roman"/>
          <w:i/>
          <w:sz w:val="20"/>
        </w:rPr>
        <w:t>World Development, 20</w:t>
      </w:r>
      <w:r>
        <w:rPr>
          <w:rFonts w:ascii="Times New Roman" w:hAnsi="Times New Roman"/>
          <w:sz w:val="20"/>
        </w:rPr>
        <w:t>(2), 165–186. https://doi.org/10.1016/0305-750X(92)90097-F</w:t>
      </w:r>
    </w:p>
    <w:p w:rsidR="00000000" w:rsidDel="00000000" w:rsidP="00000000" w:rsidRDefault="00000000" w:rsidRPr="00000000" w14:paraId="0000020C">
      <w:pPr>
        <w:spacing w:after="60" w:line="360" w:lineRule="auto"/>
        <w:ind w:left="720" w:hanging="720"/>
        <w:jc w:val="left"/>
        <w:rPr/>
      </w:pPr>
      <w:r>
        <w:rPr>
          <w:rFonts w:ascii="Times New Roman" w:hAnsi="Times New Roman"/>
          <w:sz w:val="20"/>
        </w:rPr>
        <w:t xml:space="preserve">Lind, J. T., &amp; Mehlum, H. (2010). With or without U? The appropriate test for a U-shaped relationship. </w:t>
      </w:r>
      <w:r>
        <w:rPr>
          <w:rFonts w:ascii="Times New Roman" w:hAnsi="Times New Roman"/>
          <w:i/>
          <w:sz w:val="20"/>
        </w:rPr>
        <w:t>Oxford Bulletin of Economics and Statistics, 72</w:t>
      </w:r>
      <w:r>
        <w:rPr>
          <w:rFonts w:ascii="Times New Roman" w:hAnsi="Times New Roman"/>
          <w:sz w:val="20"/>
        </w:rPr>
        <w:t>(1), 109–118. https://doi.org/10.1111/j.1468-0084.2009.00569.x</w:t>
      </w:r>
    </w:p>
    <w:p w:rsidR="00000000" w:rsidDel="00000000" w:rsidP="00000000" w:rsidRDefault="00000000" w:rsidRPr="00000000" w14:paraId="0000020D">
      <w:pPr>
        <w:spacing w:after="60" w:line="360" w:lineRule="auto"/>
        <w:ind w:left="720" w:hanging="720"/>
        <w:jc w:val="left"/>
        <w:rPr/>
      </w:pPr>
      <w:r>
        <w:rPr>
          <w:rFonts w:ascii="Times New Roman" w:hAnsi="Times New Roman"/>
          <w:sz w:val="20"/>
        </w:rPr>
        <w:t xml:space="preserve">Lu, J. W., &amp; Beamish, P. W. (2004). International diversification and firm performance: The S-curve hypothesis. </w:t>
      </w:r>
      <w:r>
        <w:rPr>
          <w:rFonts w:ascii="Times New Roman" w:hAnsi="Times New Roman"/>
          <w:i/>
          <w:sz w:val="20"/>
        </w:rPr>
        <w:t>Academy of Management Journal, 47</w:t>
      </w:r>
      <w:r>
        <w:rPr>
          <w:rFonts w:ascii="Times New Roman" w:hAnsi="Times New Roman"/>
          <w:sz w:val="20"/>
        </w:rPr>
        <w:t>(4), 598–609. https://doi.org/10.5465/20159604</w:t>
      </w:r>
    </w:p>
    <w:p w:rsidR="00000000" w:rsidDel="00000000" w:rsidP="00000000" w:rsidRDefault="00000000" w:rsidRPr="00000000" w14:paraId="0000020E">
      <w:pPr>
        <w:spacing w:after="60" w:line="360" w:lineRule="auto"/>
        <w:ind w:left="720" w:hanging="720"/>
        <w:jc w:val="left"/>
        <w:rPr/>
      </w:pPr>
      <w:r>
        <w:rPr>
          <w:rFonts w:ascii="Times New Roman" w:hAnsi="Times New Roman"/>
          <w:sz w:val="20"/>
        </w:rPr>
        <w:t xml:space="preserve">MacKinnon, J. G., &amp; White, H. (1985). Some heteroskedasticity-consistent covariance matrix estimators with improved finite sample properties. </w:t>
      </w:r>
      <w:r>
        <w:rPr>
          <w:rFonts w:ascii="Times New Roman" w:hAnsi="Times New Roman"/>
          <w:i/>
          <w:sz w:val="20"/>
        </w:rPr>
        <w:t>Journal of Econometrics, 29</w:t>
      </w:r>
      <w:r>
        <w:rPr>
          <w:rFonts w:ascii="Times New Roman" w:hAnsi="Times New Roman"/>
          <w:sz w:val="20"/>
        </w:rPr>
        <w:t>(3), 305–325. https://doi.org/10.1016/0304-4076(85)90158-7</w:t>
      </w:r>
    </w:p>
    <w:p w:rsidR="00000000" w:rsidDel="00000000" w:rsidP="00000000" w:rsidRDefault="00000000" w:rsidRPr="00000000" w14:paraId="0000020F">
      <w:pPr>
        <w:spacing w:after="60" w:line="360" w:lineRule="auto"/>
        <w:ind w:left="720" w:hanging="720"/>
        <w:jc w:val="left"/>
        <w:rPr/>
      </w:pPr>
      <w:r>
        <w:rPr>
          <w:rFonts w:ascii="Times New Roman" w:hAnsi="Times New Roman"/>
          <w:sz w:val="20"/>
        </w:rPr>
        <w:t xml:space="preserve">Marano, V., Arregle, J.-L., Hitt, M. A., Spadafora, E., &amp; van Essen, M. (2016). Home country institutions and the internationalization-performance relationship: A meta-analytic review. </w:t>
      </w:r>
      <w:r>
        <w:rPr>
          <w:rFonts w:ascii="Times New Roman" w:hAnsi="Times New Roman"/>
          <w:i/>
          <w:sz w:val="20"/>
        </w:rPr>
        <w:t>Journal of Management, 42</w:t>
      </w:r>
      <w:r>
        <w:rPr>
          <w:rFonts w:ascii="Times New Roman" w:hAnsi="Times New Roman"/>
          <w:sz w:val="20"/>
        </w:rPr>
        <w:t>(5), 1075–1110. https://doi.org/10.1177/0149206315624963</w:t>
      </w:r>
    </w:p>
    <w:p w:rsidR="00000000" w:rsidDel="00000000" w:rsidP="00000000" w:rsidRDefault="00000000" w:rsidRPr="00000000" w14:paraId="00000210">
      <w:pPr>
        <w:spacing w:after="60" w:line="360" w:lineRule="auto"/>
        <w:ind w:left="720" w:hanging="720"/>
        <w:jc w:val="left"/>
        <w:rPr/>
      </w:pPr>
      <w:r>
        <w:rPr>
          <w:rFonts w:ascii="Times New Roman" w:hAnsi="Times New Roman"/>
          <w:sz w:val="20"/>
        </w:rPr>
        <w:t xml:space="preserve">Meyer, K. E., van Witteloostuijn, A., &amp; Beugelsdijk, S. (2017). What’s in a p? Reassessing best practices for conducting and reporting hypothesis-testing research. </w:t>
      </w:r>
      <w:r>
        <w:rPr>
          <w:rFonts w:ascii="Times New Roman" w:hAnsi="Times New Roman"/>
          <w:i/>
          <w:sz w:val="20"/>
        </w:rPr>
        <w:t>Journal of International Business Studies, 48</w:t>
      </w:r>
      <w:r>
        <w:rPr>
          <w:rFonts w:ascii="Times New Roman" w:hAnsi="Times New Roman"/>
          <w:sz w:val="20"/>
        </w:rPr>
        <w:t>(5), 535–551. https://doi.org/10.1057/s41267-017-0078-8</w:t>
      </w:r>
    </w:p>
    <w:p w:rsidR="00000000" w:rsidDel="00000000" w:rsidP="00000000" w:rsidRDefault="00000000" w:rsidRPr="00000000" w14:paraId="00000211">
      <w:pPr>
        <w:spacing w:after="60" w:line="360" w:lineRule="auto"/>
        <w:ind w:left="720" w:hanging="720"/>
        <w:jc w:val="left"/>
        <w:rPr/>
      </w:pPr>
      <w:r>
        <w:rPr>
          <w:rFonts w:ascii="Times New Roman" w:hAnsi="Times New Roman"/>
          <w:sz w:val="20"/>
        </w:rPr>
        <w:t xml:space="preserve">O’Brien, R. M. (2007). A caution regarding rules of thumb for variance inflation factors. </w:t>
      </w:r>
      <w:r>
        <w:rPr>
          <w:rFonts w:ascii="Times New Roman" w:hAnsi="Times New Roman"/>
          <w:i/>
          <w:sz w:val="20"/>
        </w:rPr>
        <w:t>Quality &amp; Quantity, 41</w:t>
      </w:r>
      <w:r>
        <w:rPr>
          <w:rFonts w:ascii="Times New Roman" w:hAnsi="Times New Roman"/>
          <w:sz w:val="20"/>
        </w:rPr>
        <w:t>(5), 673–690. https://doi.org/10.1007/s11135-006-9018-6</w:t>
      </w:r>
    </w:p>
    <w:p w:rsidR="00000000" w:rsidDel="00000000" w:rsidP="00000000" w:rsidRDefault="00000000" w:rsidRPr="00000000" w14:paraId="00000212">
      <w:pPr>
        <w:spacing w:after="60" w:line="360" w:lineRule="auto"/>
        <w:ind w:left="720" w:hanging="720"/>
        <w:jc w:val="left"/>
        <w:rPr/>
      </w:pPr>
      <w:r>
        <w:rPr>
          <w:rFonts w:ascii="Times New Roman" w:hAnsi="Times New Roman"/>
          <w:sz w:val="20"/>
        </w:rPr>
        <w:t xml:space="preserve">Peng, M. W. (2003). Institutional transitions and strategic choices. </w:t>
      </w:r>
      <w:r>
        <w:rPr>
          <w:rFonts w:ascii="Times New Roman" w:hAnsi="Times New Roman"/>
          <w:i/>
          <w:sz w:val="20"/>
        </w:rPr>
        <w:t>Academy of Management Review, 28</w:t>
      </w:r>
      <w:r>
        <w:rPr>
          <w:rFonts w:ascii="Times New Roman" w:hAnsi="Times New Roman"/>
          <w:sz w:val="20"/>
        </w:rPr>
        <w:t>(2), 275–296. https://doi.org/10.5465/amr.2003.9416341</w:t>
      </w:r>
    </w:p>
    <w:p w:rsidR="00000000" w:rsidDel="00000000" w:rsidP="00000000" w:rsidRDefault="00000000" w:rsidRPr="00000000" w14:paraId="00000213">
      <w:pPr>
        <w:spacing w:after="60" w:line="360" w:lineRule="auto"/>
        <w:ind w:left="720" w:hanging="720"/>
        <w:jc w:val="left"/>
        <w:rPr/>
      </w:pPr>
      <w:r>
        <w:rPr>
          <w:rFonts w:ascii="Times New Roman" w:hAnsi="Times New Roman"/>
          <w:sz w:val="20"/>
        </w:rPr>
        <w:t xml:space="preserve">Peng, M. W., Wang, D. Y. L., &amp; Jiang, Y. (2008). An institution-based view of international business strategy: A focus on emerging economies. </w:t>
      </w:r>
      <w:r>
        <w:rPr>
          <w:rFonts w:ascii="Times New Roman" w:hAnsi="Times New Roman"/>
          <w:i/>
          <w:sz w:val="20"/>
        </w:rPr>
        <w:t>Journal of International Business Studies, 39</w:t>
      </w:r>
      <w:r>
        <w:rPr>
          <w:rFonts w:ascii="Times New Roman" w:hAnsi="Times New Roman"/>
          <w:sz w:val="20"/>
        </w:rPr>
        <w:t>(5), 920–936. https://doi.org/10.1057/palgrave.jibs.8400377</w:t>
      </w:r>
    </w:p>
    <w:p w:rsidR="00000000" w:rsidDel="00000000" w:rsidP="00000000" w:rsidRDefault="00000000" w:rsidRPr="00000000" w14:paraId="00000214">
      <w:pPr>
        <w:spacing w:after="60" w:line="360" w:lineRule="auto"/>
        <w:ind w:left="720" w:hanging="720"/>
        <w:jc w:val="left"/>
        <w:rPr/>
      </w:pPr>
      <w:r>
        <w:rPr>
          <w:rFonts w:ascii="Times New Roman" w:hAnsi="Times New Roman"/>
          <w:sz w:val="20"/>
        </w:rPr>
        <w:t xml:space="preserve">Rugman, A. M., &amp; Verbeke, A. (2004). A perspective on regional and global strategies of multinational enterprises. </w:t>
      </w:r>
      <w:r>
        <w:rPr>
          <w:rFonts w:ascii="Times New Roman" w:hAnsi="Times New Roman"/>
          <w:i/>
          <w:sz w:val="20"/>
        </w:rPr>
        <w:t>Journal of International Business Studies, 35</w:t>
      </w:r>
      <w:r>
        <w:rPr>
          <w:rFonts w:ascii="Times New Roman" w:hAnsi="Times New Roman"/>
          <w:sz w:val="20"/>
        </w:rPr>
        <w:t>(1), 3–18. https://doi.org/10.1057/palgrave.jibs.8400073</w:t>
      </w:r>
    </w:p>
    <w:p w:rsidR="00000000" w:rsidDel="00000000" w:rsidP="00000000" w:rsidRDefault="00000000" w:rsidRPr="00000000" w14:paraId="00000215">
      <w:pPr>
        <w:spacing w:after="60" w:line="360" w:lineRule="auto"/>
        <w:ind w:left="720" w:hanging="720"/>
        <w:jc w:val="left"/>
        <w:rPr/>
      </w:pPr>
      <w:r>
        <w:rPr>
          <w:rFonts w:ascii="Times New Roman" w:hAnsi="Times New Roman"/>
          <w:sz w:val="20"/>
        </w:rPr>
        <w:t xml:space="preserve">Shaver, J. M. (2020). Causal identification through a cumulative body of research in the study of strategy and organizations. </w:t>
      </w:r>
      <w:r>
        <w:rPr>
          <w:rFonts w:ascii="Times New Roman" w:hAnsi="Times New Roman"/>
          <w:i/>
          <w:sz w:val="20"/>
        </w:rPr>
        <w:t>Journal of Management, 46</w:t>
      </w:r>
      <w:r>
        <w:rPr>
          <w:rFonts w:ascii="Times New Roman" w:hAnsi="Times New Roman"/>
          <w:sz w:val="20"/>
        </w:rPr>
        <w:t>(6), 1244–1256. https://doi.org/10.1177/0149206319846272</w:t>
      </w:r>
    </w:p>
    <w:p w:rsidR="00000000" w:rsidDel="00000000" w:rsidP="00000000" w:rsidRDefault="00000000" w:rsidRPr="00000000" w14:paraId="00000216">
      <w:pPr>
        <w:spacing w:after="60" w:line="360" w:lineRule="auto"/>
        <w:ind w:left="720" w:hanging="720"/>
        <w:jc w:val="left"/>
        <w:rPr/>
      </w:pPr>
      <w:r>
        <w:rPr>
          <w:rFonts w:ascii="Times New Roman" w:hAnsi="Times New Roman"/>
          <w:sz w:val="20"/>
        </w:rPr>
        <w:t xml:space="preserve">Stallkamp, M., &amp; Schotter, A. P. J. (2021). Platforms without borders? The international strategies of digital platform firms. </w:t>
      </w:r>
      <w:r>
        <w:rPr>
          <w:rFonts w:ascii="Times New Roman" w:hAnsi="Times New Roman"/>
          <w:i/>
          <w:sz w:val="20"/>
        </w:rPr>
        <w:t>Global Strategy Journal, 11</w:t>
      </w:r>
      <w:r>
        <w:rPr>
          <w:rFonts w:ascii="Times New Roman" w:hAnsi="Times New Roman"/>
          <w:sz w:val="20"/>
        </w:rPr>
        <w:t>(1), 58–80. https://doi.org/10.1002/gsj.1336</w:t>
      </w:r>
    </w:p>
    <w:p w:rsidR="00000000" w:rsidDel="00000000" w:rsidP="00000000" w:rsidRDefault="00000000" w:rsidRPr="00000000" w14:paraId="00000217">
      <w:pPr>
        <w:spacing w:after="60" w:line="360" w:lineRule="auto"/>
        <w:ind w:left="720" w:hanging="720"/>
        <w:jc w:val="left"/>
        <w:rPr/>
      </w:pPr>
      <w:r>
        <w:rPr>
          <w:rFonts w:ascii="Times New Roman" w:hAnsi="Times New Roman"/>
          <w:sz w:val="20"/>
        </w:rPr>
        <w:t xml:space="preserve">Verhoef, P. C., Broekhuizen, T., Bart, Y., Bhattacharya, A., Dong, J. Q., Fabian, N., &amp; Haenlein, M. (2021). Digital transformation: A multidisciplinary reflection and research agenda. </w:t>
      </w:r>
      <w:r>
        <w:rPr>
          <w:rFonts w:ascii="Times New Roman" w:hAnsi="Times New Roman"/>
          <w:i/>
          <w:sz w:val="20"/>
        </w:rPr>
        <w:t>Journal of Business Research, 122</w:t>
      </w:r>
      <w:r>
        <w:rPr>
          <w:rFonts w:ascii="Times New Roman" w:hAnsi="Times New Roman"/>
          <w:sz w:val="20"/>
        </w:rPr>
        <w:t>, 889–901. https://doi.org/10.1016/j.jbusres.2019.09.022</w:t>
      </w:r>
    </w:p>
    <w:p w:rsidR="00000000" w:rsidDel="00000000" w:rsidP="00000000" w:rsidRDefault="00000000" w:rsidRPr="00000000" w14:paraId="00000218">
      <w:pPr>
        <w:spacing w:after="60" w:line="360" w:lineRule="auto"/>
        <w:ind w:left="720" w:hanging="720"/>
        <w:jc w:val="left"/>
        <w:rPr/>
      </w:pPr>
      <w:r>
        <w:rPr>
          <w:rFonts w:ascii="Times New Roman" w:hAnsi="Times New Roman"/>
          <w:sz w:val="20"/>
        </w:rPr>
        <w:t xml:space="preserve">Wolfolds, S. E., &amp; Siegel, J. (2019). Misaccounting for endogeneity: The peril of relying on the Heckman two-step method without a valid instrument. </w:t>
      </w:r>
      <w:r>
        <w:rPr>
          <w:rFonts w:ascii="Times New Roman" w:hAnsi="Times New Roman"/>
          <w:i/>
          <w:sz w:val="20"/>
        </w:rPr>
        <w:t>Strategic Management Journal, 40</w:t>
      </w:r>
      <w:r>
        <w:rPr>
          <w:rFonts w:ascii="Times New Roman" w:hAnsi="Times New Roman"/>
          <w:sz w:val="20"/>
        </w:rPr>
        <w:t>(3), 432–462. https://doi.org/10.1002/smj.2995</w:t>
      </w:r>
    </w:p>
    <w:p w:rsidR="00000000" w:rsidDel="00000000" w:rsidP="00000000" w:rsidRDefault="00000000" w:rsidRPr="00000000" w14:paraId="00000219">
      <w:pPr>
        <w:spacing w:after="60" w:line="360" w:lineRule="auto"/>
        <w:ind w:left="720" w:hanging="720"/>
        <w:jc w:val="left"/>
        <w:rPr/>
      </w:pPr>
      <w:r>
        <w:rPr>
          <w:rFonts w:ascii="Times New Roman" w:hAnsi="Times New Roman"/>
          <w:sz w:val="20"/>
        </w:rPr>
        <w:t xml:space="preserve">World Bank. (2024). </w:t>
      </w:r>
      <w:r>
        <w:rPr>
          <w:rFonts w:ascii="Times New Roman" w:hAnsi="Times New Roman"/>
          <w:i/>
          <w:sz w:val="20"/>
        </w:rPr>
        <w:t>World Bank Enterprise Survey: Singapore 2023</w:t>
      </w:r>
      <w:r>
        <w:rPr>
          <w:rFonts w:ascii="Times New Roman" w:hAnsi="Times New Roman"/>
          <w:sz w:val="20"/>
        </w:rPr>
        <w:t>. https://www.enterprisesurveys.org</w:t>
      </w:r>
    </w:p>
    <w:p w:rsidR="00000000" w:rsidDel="00000000" w:rsidP="00000000" w:rsidRDefault="00000000" w:rsidRPr="00000000" w14:paraId="0000021A">
      <w:pPr>
        <w:rPr/>
      </w:pPr>
      <w:r>
        <w:br w:type="page"/>
      </w:r>
      <w:r>
        <w:rPr>
          <w:rtl w:val="0"/>
        </w:rPr>
      </w:r>
    </w:p>
    <w:p w:rsidR="00000000" w:rsidDel="00000000" w:rsidP="00000000" w:rsidRDefault="00000000" w:rsidRPr="00000000" w14:paraId="0000021B">
      <w:pPr>
        <w:jc w:val="center"/>
        <w:rPr/>
      </w:pPr>
      <w:r>
        <w:rPr/>
        <w:drawing>
          <wp:inline distB="0" distT="0" distL="114300" distR="114300">
            <wp:extent cx="5029200" cy="3351857"/>
            <wp:effectExtent b="0" l="0" r="0" t="0"/>
            <wp:docPr id="3"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029200" cy="3351857"/>
                    </a:xfrm>
                    <a:prstGeom prst="rect"/>
                    <a:ln/>
                  </pic:spPr>
                </pic:pic>
              </a:graphicData>
            </a:graphic>
          </wp:inline>
        </w:drawing>
      </w:r>
      <w:r>
        <w:rPr>
          <w:rtl w:val="0"/>
        </w:rPr>
      </w:r>
    </w:p>
    <w:p w:rsidR="00000000" w:rsidDel="00000000" w:rsidP="00000000" w:rsidRDefault="00000000" w:rsidRPr="00000000" w14:paraId="0000021C">
      <w:pPr>
        <w:jc w:val="center"/>
        <w:rPr/>
      </w:pPr>
      <w:r>
        <w:rPr>
          <w:rFonts w:ascii="Cardo" w:cs="Cardo" w:eastAsia="Cardo" w:hAnsi="Cardo"/>
          <w:i w:val="1"/>
          <w:iCs w:val="1"/>
          <w:sz w:val="18"/>
          <w:szCs w:val="18"/>
          <w:rtl w:val="0"/>
        </w:rPr>
        <w:t>Figure 1. Conceptual model. Technological capability, digital adoption, and the internationalization–performance relationship in a digital-frontier institutional environment. Solid arrows denote direct effects (H1, H3), whereas dashed arrows denote moderation effects (H2, H4). The moderation arrows should be interpreted as acting on the internationalization–performance path rather than as direct antecedents of FSTS.</w:t>
      </w:r>
      <w:r>
        <w:rPr>
          <w:rtl w:val="0"/>
        </w:rPr>
      </w:r>
    </w:p>
    <w:p w:rsidR="00000000" w:rsidDel="00000000" w:rsidP="00000000" w:rsidRDefault="00000000" w:rsidRPr="00000000" w14:paraId="0000021D">
      <w:pPr>
        <w:rPr/>
      </w:pPr>
      <w:r>
        <w:br w:type="page"/>
      </w:r>
      <w:r>
        <w:rPr>
          <w:rtl w:val="0"/>
        </w:rPr>
      </w:r>
    </w:p>
    <w:p w:rsidR="00000000" w:rsidDel="00000000" w:rsidP="00000000" w:rsidRDefault="00000000" w:rsidRPr="00000000" w14:paraId="0000021E">
      <w:pPr>
        <w:jc w:val="center"/>
        <w:rPr/>
      </w:pPr>
      <w:r>
        <w:rPr/>
        <w:drawing>
          <wp:inline distB="0" distT="0" distL="114300" distR="114300">
            <wp:extent cx="5029200" cy="3544736"/>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029200" cy="3544736"/>
                    </a:xfrm>
                    <a:prstGeom prst="rect"/>
                    <a:ln/>
                  </pic:spPr>
                </pic:pic>
              </a:graphicData>
            </a:graphic>
          </wp:inline>
        </w:drawing>
      </w:r>
      <w:r>
        <w:rPr>
          <w:rtl w:val="0"/>
        </w:rPr>
      </w:r>
    </w:p>
    <w:p w:rsidR="00000000" w:rsidDel="00000000" w:rsidP="00000000" w:rsidRDefault="00000000" w:rsidRPr="00000000" w14:paraId="0000021F">
      <w:pPr>
        <w:jc w:val="center"/>
        <w:rPr/>
      </w:pPr>
      <w:r>
        <w:rPr>
          <w:rFonts w:ascii="Times New Roman" w:cs="Times New Roman" w:eastAsia="Times New Roman" w:hAnsi="Times New Roman"/>
          <w:i w:val="1"/>
          <w:iCs w:val="1"/>
          <w:sz w:val="18"/>
          <w:szCs w:val="18"/>
          <w:rtl w:val="0"/>
        </w:rPr>
        <w:t>Figure 2. Marginal effects of digital adoption across export intensity. Marginal effect estimates of DAI on labour productivity across the FSTS distribution with 95% confidence intervals from Model M8. The figure shows that the productivity association of DAI is weak across much of the low-to-middle export range but becomes more positive in the high-export tail.</w:t>
      </w:r>
      <w:r>
        <w:rPr>
          <w:rtl w:val="0"/>
        </w:rPr>
      </w:r>
    </w:p>
    <w:p w:rsidR="00000000" w:rsidDel="00000000" w:rsidP="00000000" w:rsidRDefault="00000000" w:rsidRPr="00000000" w14:paraId="00000220">
      <w:pPr>
        <w:rPr/>
      </w:pPr>
      <w:r>
        <w:br w:type="page"/>
      </w:r>
      <w:r>
        <w:rPr>
          <w:rtl w:val="0"/>
        </w:rPr>
      </w:r>
    </w:p>
    <w:p w:rsidR="00000000" w:rsidDel="00000000" w:rsidP="00000000" w:rsidRDefault="00000000" w:rsidRPr="00000000" w14:paraId="00000221">
      <w:pPr>
        <w:jc w:val="center"/>
        <w:rPr/>
      </w:pPr>
      <w:r>
        <w:rPr/>
        <w:drawing>
          <wp:inline distB="0" distT="0" distL="114300" distR="114300">
            <wp:extent cx="5029200" cy="3546449"/>
            <wp:effectExtent b="0" l="0" r="0" t="0"/>
            <wp:docPr id="4"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029200" cy="3546449"/>
                    </a:xfrm>
                    <a:prstGeom prst="rect"/>
                    <a:ln/>
                  </pic:spPr>
                </pic:pic>
              </a:graphicData>
            </a:graphic>
          </wp:inline>
        </w:drawing>
      </w:r>
      <w:r>
        <w:rPr>
          <w:rtl w:val="0"/>
        </w:rPr>
      </w:r>
    </w:p>
    <w:p w:rsidR="00000000" w:rsidDel="00000000" w:rsidP="00000000" w:rsidRDefault="00000000" w:rsidRPr="00000000" w14:paraId="00000222">
      <w:pPr>
        <w:jc w:val="center"/>
        <w:rPr/>
      </w:pPr>
      <w:r>
        <w:rPr>
          <w:rFonts w:ascii="Gungsuh" w:cs="Gungsuh" w:eastAsia="Gungsuh" w:hAnsi="Gungsuh"/>
          <w:i w:val="1"/>
          <w:iCs w:val="1"/>
          <w:sz w:val="18"/>
          <w:szCs w:val="18"/>
          <w:rtl w:val="0"/>
        </w:rPr>
        <w:t>Figure 3. Predicted internationalization–performance curve. Predicted relationship between export intensity and labour productivity with 95% confidence bands from the baseline quadratic specification. The implied turning point occurs at FSTS 82.4 on the original scale, but this point lies in a sparsely populated upper tail and should therefore be interpreted as descriptive rather than as structurally identified evidence of an inverted-U.</w:t>
      </w:r>
      <w:r>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