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Digital Capabilities as a Double-Edged Sword: A Lifecycle Analysis of Internationalisation and Firm Performance in Vietnam</w:t>
      </w:r>
    </w:p>
    <w:p>
      <w:pPr>
        <w:pStyle w:val="Subtitle"/>
      </w:pPr>
      <w:r>
        <w:t>v4.8 — submission-ready: with Figure 1, Figure 2 and full IB reference list</w:t>
      </w:r>
    </w:p>
    <w:p>
      <w:pPr>
        <w:pStyle w:val="Date"/>
      </w:pPr>
      <w:r>
        <w:t>2026-05-01</w:t>
      </w:r>
    </w:p>
    <w:p>
      <w:pPr>
        <w:pStyle w:val="Author"/>
      </w:pPr>
      <w:r>
        <w:t>Do Thuy Huong (corresponding author)</w:t>
      </w:r>
    </w:p>
    <w:p>
      <w:pPr>
        <w:pStyle w:val="BodyText"/>
      </w:pPr>
      <w:r>
        <w:t>PhD Candidate, College of Economics, Can Tho University, Can Tho, Vietnam. E-mail: huongp1323001@gstudent.ctu.edu.vn. ORCID: https://orcid.org/0000-0002-7711-2487.</w:t>
      </w:r>
    </w:p>
    <w:p>
      <w:pPr>
        <w:pStyle w:val="Author"/>
      </w:pPr>
      <w:r>
        <w:t>Phan Anh Tu</w:t>
      </w:r>
    </w:p>
    <w:p>
      <w:pPr>
        <w:pStyle w:val="BodyText"/>
      </w:pPr>
      <w:r>
        <w:t>School of Economics (International Business), Can Tho University, Can Tho, Vietnam. E-mail: patu@ctu.edu.vn. ORCID: https://orcid.org/0000-0003-0667-3137.</w:t>
      </w:r>
    </w:p>
    <w:p>
      <w:pPr>
        <w:pStyle w:val="BodyText"/>
      </w:pPr>
      <w:r>
        <w:t>Manuscript classification: research article. Word count (main text excluding abstract, references, tables, figures): approximately 6,800 words. Tables: 2 (Table 1 descriptives in supplementary appendix; Table 2 main empirical pattern in §4.4). Figures: 2 (conceptual model and predicted I–P curves).</w:t>
      </w:r>
    </w:p>
    <w:p>
      <w:pPr>
        <w:pStyle w:val="Heading1"/>
      </w:pPr>
      <w:r>
        <w:t>Abstract</w:t>
      </w:r>
    </w:p>
    <w:p>
      <w:pPr>
        <w:pStyle w:val="FirstParagraph"/>
      </w:pPr>
      <w:r>
        <w:t>This study examines whether digital capability in Vietnam operates as a stable productivity-enhancing resource or as a context-dependent capability whose value changes across stages of internationalisation. Building on the internationalisation–performance literature, the study argues that the benefits of foreign expansion are unlikely to be linear because scale, learning, and diversification gains may eventually be offset by coordination costs and organisational complexity (Marano et al., 2016). It further argues that digitalisation should not be treated as a single undifferentiated construct because deeper technological capability and foundational digital adoption capture different dimensions of firm heterogeneity (Cohen &amp; Levinthal, 1990; Lall, 1992; Verhoef et al., 2021).</w:t>
      </w:r>
    </w:p>
    <w:p>
      <w:pPr>
        <w:pStyle w:val="BodyText"/>
      </w:pPr>
      <w:r>
        <w:t>Using three waves of harmonised firm-level evidence from the World Bank Enterprise Survey for Vietnam (2009, 2015, 2023; analytic N = 989, 958, 1,013, pooled 2,960), we distinguish a Technological Capability Index (TCI_z) from a Digital Adoption Index (DAI_z) and evaluate their roles in both pooled and wave-specific OLS specifications with HC1 robust covariance. The internationalisation–performance relationship is robustly nonlinear: the Lind–Mehlum test rejects monotonicity in all three waves (2009 p = .006, 2015 p = .009, 2023 p = .012) and in the pooled sample (p &lt; .001), with turning points tightly bunched between 40 % and 46 % of direct-export intensity. In the pooled M7 specification, TCI_z is positive and highly significant (β = 0.169, p &lt; .001) and DAI_z is positive and significant (β = 0.063, p = .036). Wave-specific estimates show that TCI_z matters in all three waves (β = 0.204, 0.129, 0.091) while DAI_z is strongest in 2009 (β = 0.127, p = .005), null in 2015 (β = −0.032), and marginal in 2023 (β = 0.099). The DAI moderation channel emerges only in the 2023 wave (M4 joint p = .043; full-model M8 joint p = .013) and sits at the conventional threshold in the pooled sample (M8 joint p = .050).</w:t>
      </w:r>
    </w:p>
    <w:p>
      <w:pPr>
        <w:pStyle w:val="BodyText"/>
      </w:pPr>
      <w:r>
        <w:t>These findings suggest that digital capability in a transitional economy should not be interpreted as a universal premium. Instead, its performance value varies across stages of internationalisation and phases of economic transition. The study contributes to international business research by refining the boundary conditions of the internationalisation–performance relationship, improving construct clarity between technological capability and foundational digital adoption, and showing that pooled average effects can obscure important lifecycle heterogeneity.</w:t>
      </w:r>
    </w:p>
    <w:p>
      <w:pPr>
        <w:pStyle w:val="BodyText"/>
      </w:pPr>
      <w:r>
        <w:t>From an applied perspective, the results imply that policy and managerial investments aimed at digitalisation should be calibrated to the firm’s position along the export-intensity distribution and to the broader phase of economic transition in which the firm operates. Treating digital adoption as a uniform productivity lever risks mismeasuring its real contribution and misallocating capability-upgrading effort across firms and over time.</w:t>
      </w:r>
    </w:p>
    <w:p>
      <w:pPr>
        <w:pStyle w:val="BodyText"/>
      </w:pPr>
      <w:r>
        <w:t>Keywords: internationalisation–performance relationship; digital adoption; technological capability; Vietnam; firm performance; lifecycle heterogeneity.</w:t>
      </w:r>
    </w:p>
    <w:p>
      <w:pPr>
        <w:pStyle w:val="BodyText"/>
      </w:pPr>
      <w:r>
        <w:t>JEL classification: F23 (multinational firms; international business); O33 (technological change: choices and consequences; diffusion processes); D22 (firm behavior: empirical analysis); L25 (firm performance: size, diversification, and scope); O53 (economywide country studies — Asia including Middle East).</w:t>
      </w:r>
    </w:p>
    <w:p>
      <w:pPr>
        <w:pStyle w:val="Heading1"/>
      </w:pPr>
      <w:r>
        <w:t>Highlights</w:t>
      </w:r>
    </w:p>
    <w:p>
      <w:pPr>
        <w:pStyle w:val="FirstParagraph"/>
      </w:pPr>
      <w:r>
        <w:t>• The I–P relationship in Vietnam is robustly nonlinear: the Lind–Mehlum test rejects monotonicity in all three waves (2009 p = .006, 2015 p = .009, 2023 p = .012) and pooled (p &lt; .001).</w:t>
      </w:r>
    </w:p>
    <w:p>
      <w:pPr>
        <w:pStyle w:val="BodyText"/>
      </w:pPr>
      <w:r>
        <w:t>• Turning points cluster between 40 % and 46 % of direct-export intensity (2015: 39.6 %; pooled: 39.8 %; 2023: 41.6 %; 2009: 46.2 %).</w:t>
      </w:r>
    </w:p>
    <w:p>
      <w:pPr>
        <w:pStyle w:val="BodyText"/>
      </w:pPr>
      <w:r>
        <w:t>• TCI_z is positive in all three waves but its magnitude declines over time (2009: β = 0.204 ***; 2015: β = 0.129 *; 2023: β = 0.091, marginal); pooled TCI_z = 0.169, p &lt; .001.</w:t>
      </w:r>
    </w:p>
    <w:p>
      <w:pPr>
        <w:pStyle w:val="BodyText"/>
      </w:pPr>
      <w:r>
        <w:t>• DAI_z direct effect is positive in 2009 (β = 0.127, p = .005), null in 2015 (β = −0.032), marginal in 2023 (β = 0.099); pooled DAI_z = 0.063, p = .036 in M7 but indistinguishable from zero once interactions enter M8.</w:t>
      </w:r>
    </w:p>
    <w:p>
      <w:pPr>
        <w:pStyle w:val="BodyText"/>
      </w:pPr>
      <w:r>
        <w:t>• DAI moderation is concentrated in the 2023 wave (M4 joint p = .043; M8 joint p = .013; FSTS_c × DAI_z = −0.637, marginal); the pooled signal sits at the conventional threshold (M8 joint p = .050) and is driven entirely by 2023.</w:t>
      </w:r>
    </w:p>
    <w:p>
      <w:pPr>
        <w:pStyle w:val="Heading1"/>
      </w:pPr>
      <w:r>
        <w:t>1. Introduction</w:t>
      </w:r>
    </w:p>
    <w:p>
      <w:pPr>
        <w:pStyle w:val="Heading2"/>
      </w:pPr>
      <w:r>
        <w:t>1.1 Background and motivation</w:t>
      </w:r>
    </w:p>
    <w:p>
      <w:pPr>
        <w:pStyle w:val="FirstParagraph"/>
      </w:pPr>
      <w:r>
        <w:t>Vietnam offers an analytically valuable setting for revisiting the internationalisation–performance (I–P) relationship because firms expand abroad under conditions of institutional transition, uneven capability accumulation, and rapidly changing digital infrastructure. In such settings, internationalisation should not be assumed to generate a simple linear performance premium. Firms may gain access to larger markets, benefit from learning, and diversify revenue streams, but they may also face rising coordination costs, information-processing burdens, and organisational strain as their foreign involvement deepens.</w:t>
      </w:r>
    </w:p>
    <w:p>
      <w:pPr>
        <w:pStyle w:val="BodyText"/>
      </w:pPr>
      <w:r>
        <w:t>This tension lies at the heart of the I–P literature. A long tradition of research has argued that internationalisation can improve performance at lower and intermediate levels through scale, learning, and diversification, while also generating diminishing or negative returns at higher levels because of complexity and coordination burdens. Meta-analytic evidence strongly supports the view that nonlinearity is a central feature of this relationship rather than an empirical anomaly (Marano et al., 2016).</w:t>
      </w:r>
    </w:p>
    <w:p>
      <w:pPr>
        <w:pStyle w:val="BodyText"/>
      </w:pPr>
      <w:r>
        <w:t>Digitalisation adds a further layer of complexity to this debate. Digital tools can reduce communication frictions, accelerate transactions, and support coordination across borders. Yet those benefits do not arise automatically. Their realised value depends on whether firms possess the organisational depth, absorptive capacity, and complementary routines needed to translate digital adoption into productivity gains (Cohen &amp; Levinthal, 1990; Verhoef et al., 2021). For this reason, digital capability should not be treated as a universally beneficial resource whose payoff is constant across firms and over time.</w:t>
      </w:r>
    </w:p>
    <w:p>
      <w:pPr>
        <w:pStyle w:val="BodyText"/>
      </w:pPr>
      <w:r>
        <w:t>The Vietnamese setting makes this issue especially important. Because firms are embedded in an economy undergoing capability upgrading and digital transition, both the benefits of internationalisation and the payoff from digitalisation may vary across stages of development. This raises a central question for the present study: does digital capability in Vietnam function as a stable performance-enhancing asset, or does it operate as a stage-contingent resource whose value changes over the lifecycle of internationalisation?</w:t>
      </w:r>
    </w:p>
    <w:p>
      <w:pPr>
        <w:pStyle w:val="BodyText"/>
      </w:pPr>
      <w:r>
        <w:t>Three institutional turning points shape the observation window. Vietnam acceded to the World Trade Organization in early 2007, which opened the period preceding the 2009 wave and converted a domestically oriented exporter cohort into one with broader market exposure but limited absorptive infrastructure. The 2015 wave captures the middle of a second phase, in which expanding manufacturing exports coexisted with under-developed digital trade infrastructure, weak cross-border logistics integration, and an exporter cohort still concentrated in labour-intensive segments. The 2023 wave follows the launch of the National Digital Transformation Programme in 2020, the rapid expansion of cross-border e-payment and e-commerce platforms, and the rebalancing of foreign direct investment toward digitally-mediated and services-linked production. The three waves therefore observe firms under structurally different combinations of internationalisation pressure and digital infrastructure availability, which is what makes the lifecycle reading testable rather than purely conceptual.</w:t>
      </w:r>
    </w:p>
    <w:p>
      <w:pPr>
        <w:pStyle w:val="BodyText"/>
      </w:pPr>
      <w:r>
        <w:t>These shifts are not cosmetic. The composition of the exporter cohort itself evolves across the three waves: the share of firms reporting any positive direct-export intensity declines as services and FDI-linked supply-chain firms enter the sample, while the average level of foundational digital adoption rises with the diffusion of websites, electronic payment systems, and digital transaction interfaces. Reading the I–P relationship and the digital-adoption channel as fixed structural facts across this fourteen-year window misses the fact that the underlying firm population, the binding coordination costs, and the institutional scaffolding for cross-border trade all change materially.</w:t>
      </w:r>
    </w:p>
    <w:p>
      <w:pPr>
        <w:pStyle w:val="Heading2"/>
      </w:pPr>
      <w:r>
        <w:t>1.2 Research gap</w:t>
      </w:r>
    </w:p>
    <w:p>
      <w:pPr>
        <w:pStyle w:val="FirstParagraph"/>
      </w:pPr>
      <w:r>
        <w:t>Three gaps motivate this study. First, existing work often treats digitalisation as a broadly positive resource without paying sufficient attention to temporal and contextual variation in its payoff. Such a treatment risks implying that digital adoption produces a relatively stable performance premium across firms and across stages of economic transition. In reality, digitalisation may generate uneven returns because firms differ in scale, routines, and complementary capability.</w:t>
      </w:r>
    </w:p>
    <w:p>
      <w:pPr>
        <w:pStyle w:val="BodyText"/>
      </w:pPr>
      <w:r>
        <w:t>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 or transaction mechanisms (Bharadwaj et al., 2013; Verhoef et al., 2021). Although these constructs are related, they should not be treated as interchangeable. Collapsing them into a single umbrella variable can reduce construct clarity and blur the mechanisms linking digitalisation to performance.</w:t>
      </w:r>
    </w:p>
    <w:p>
      <w:pPr>
        <w:pStyle w:val="BodyText"/>
      </w:pPr>
      <w:r>
        <w:t>Third, pooled estimates may obscure substantial lifecycle heterogeneity. In a setting such as Vietnam, where firms and institutions pass through distinct stages of transition, the role of internationalisation, technological capability, and digital adoption may vary considerably across survey waves. A pooled model is useful for identifying average effects, but it is insufficient if the underlying relationships shift across time. A design that combines pooled and wave-specific analysis is therefore necessary to determine whether the observed effects are stable or stage contingent.</w:t>
      </w:r>
    </w:p>
    <w:p>
      <w:pPr>
        <w:pStyle w:val="Heading2"/>
      </w:pPr>
      <w:r>
        <w:t>1.3 Contribution</w:t>
      </w:r>
    </w:p>
    <w:p>
      <w:pPr>
        <w:pStyle w:val="FirstParagraph"/>
      </w:pPr>
      <w:r>
        <w:t>This study makes three contributions to the literature. First, it refines the I–P debate by showing that the Vietnamese evidence supports a nonlinear relationship, but that the salience and visibility of that relationship vary across time. Rather than treating nonlinearity as a fixed structural fact that appears identically in every period, the analysis shows that the I–P curve must be read in conjunction with the broader capability environment.</w:t>
      </w:r>
    </w:p>
    <w:p>
      <w:pPr>
        <w:pStyle w:val="BodyText"/>
      </w:pPr>
      <w:r>
        <w:t>Second, the study improves construct validity by separating technological capability from foundational digital adoption. This distinction matters theoretically because deeper capability stocks and basic digital enablement may generate performance through different channels. It also matters empirically because the two constructs do not exhibit identical patterns across the Vietnamese waves.</w:t>
      </w:r>
    </w:p>
    <w:p>
      <w:pPr>
        <w:pStyle w:val="BodyText"/>
      </w:pPr>
      <w:r>
        <w:t>Third, the study introduces a lifecycle interpretation of digital internationalisation. The evidence suggests that digital capability is neither a universally stable premium nor a uniformly ineffective resource. Instead, it is an uneven and stage-dependent source of performance heterogeneity. This perspective helps explain why pooled average effects may coexist with substantial wave-specific differences.</w:t>
      </w:r>
    </w:p>
    <w:p>
      <w:pPr>
        <w:pStyle w:val="Heading2"/>
      </w:pPr>
      <w:r>
        <w:t>1.4 Roadmap</w:t>
      </w:r>
    </w:p>
    <w:p>
      <w:pPr>
        <w:pStyle w:val="FirstParagraph"/>
      </w:pPr>
      <w:r>
        <w:t>The remainder of the paper is organised as follows. Section 2 develops the theoretical framework and hypotheses. Section 3 describes the data, variables, and empirical strategy. Section 4 presents the results. Section 5 discusses the theoretical and managerial implications. Section 6 concludes.</w:t>
      </w:r>
    </w:p>
    <w:p>
      <w:pPr>
        <w:pStyle w:val="Heading1"/>
      </w:pPr>
      <w:r>
        <w:t>2. Theory and hypotheses</w:t>
      </w:r>
    </w:p>
    <w:p>
      <w:pPr>
        <w:pStyle w:val="Heading2"/>
      </w:pPr>
      <w:r>
        <w:t>2.1 Internationalisation and firm performance</w:t>
      </w:r>
    </w:p>
    <w:p>
      <w:pPr>
        <w:pStyle w:val="FirstParagraph"/>
      </w:pPr>
      <w:r>
        <w:t>The relationship between internationalisation and firm performance is unlikely to be linear in a transitional economy such as Vietnam. Foreign expansion can improve performance through greater market reach, diversification, and learning from external environments. Firms may use internationalisation to spread fixed costs, access new customers, and acquire knowledge that supports operational improvement.</w:t>
      </w:r>
    </w:p>
    <w:p>
      <w:pPr>
        <w:pStyle w:val="BodyText"/>
      </w:pPr>
      <w:r>
        <w:t>At the same time, deeper international involvement often generates coordination costs and organisational burdens. Firms must manage multiple markets, reconcile diverse customer demands, process more information, and sustain greater managerial control. As foreign expansion intensifies, these costs may grow faster than the benefits, producing diminishing returns or even a decline in performance. This basic logic underpins the classic nonlinear view of the I–P relationship (Marano et al., 2016).</w:t>
      </w:r>
    </w:p>
    <w:p>
      <w:pPr>
        <w:pStyle w:val="BodyText"/>
      </w:pPr>
      <w:r>
        <w:t>This argument is especially plausible in Vietnam because firms operate under uneven capability conditions. Some firms may convert foreign expansion into learning and scale advantages, whereas others may encounter organisational strain sooner. The relevant expectation is therefore not a uniformly positive slope, but a nonlinear relationship in which gains from internationalisation become progressively more difficult to sustain.</w:t>
      </w:r>
    </w:p>
    <w:p>
      <w:pPr>
        <w:pStyle w:val="BodyText"/>
      </w:pPr>
      <w:r>
        <w:t>Two opposing forces underpin the curvature. On the upside, increasing direct-export intensity creates scale economies, knowledge spillovers from foreign customers, and learning-by-exporting effects that lift productivity. On the downside, coordinating production for institutionally distant markets imposes information-processing costs that grow non-linearly: each additional foreign market adds compliance demands, customer-relationship overhead, and supply-chain dependencies whose marginal coordination cost rises faster than the marginal scale benefit beyond a threshold. In a transitional setting where ports, trade-finance institutions, digital marketplaces, and dispute-resolution mechanisms are still maturing, this threshold may bind at a lower level of export intensity than in mature economies, sharpening the curvature relative to the meta-analytic baseline (Marano et al., 2016).</w:t>
      </w:r>
    </w:p>
    <w:p>
      <w:pPr>
        <w:pStyle w:val="BlockText"/>
      </w:pPr>
      <w:r>
        <w:t>H1. The relationship between internationalisation and firm performance in Vietnam is nonlinear.</w:t>
      </w:r>
    </w:p>
    <w:p>
      <w:pPr>
        <w:pStyle w:val="Heading2"/>
      </w:pPr>
      <w:r>
        <w:t>2.2 Technological capability and firm performance</w:t>
      </w:r>
    </w:p>
    <w:p>
      <w:pPr>
        <w:pStyle w:val="FirstParagraph"/>
      </w:pPr>
      <w:r>
        <w:t>Technological capability refers to deeper firm-internal stocks of learning, knowledge integration, process improvement, and problem-solving capacity. It is central to the firm’s ability to upgrade operations, adapt to changing market demands, and absorb external knowledge (Cohen &amp; Levinthal, 1990; Lall, 1992). In international settings, these functions are particularly important because firms must respond to unfamiliar markets, coordinate across boundaries, and integrate lessons from foreign activity into organisational routines.</w:t>
      </w:r>
    </w:p>
    <w:p>
      <w:pPr>
        <w:pStyle w:val="BodyText"/>
      </w:pPr>
      <w:r>
        <w:t>A firm with stronger technological capability is more likely to transform international exposure into productivity gains. It can adjust products and processes more effectively, learn from foreign customers and competitors more quickly, and cope better with the operational demands created by export activity. Even when such capability does not fundamentally alter the curvature of the I–P relationship, it should improve the firm’s overall performance level.</w:t>
      </w:r>
    </w:p>
    <w:p>
      <w:pPr>
        <w:pStyle w:val="BodyText"/>
      </w:pPr>
      <w:r>
        <w:t>This implies a positive direct association between technological capability and firm performance in Vietnam. Stronger technological capability should raise the firm’s capacity to benefit from internationalisation and should also support productivity more broadly.</w:t>
      </w:r>
    </w:p>
    <w:p>
      <w:pPr>
        <w:pStyle w:val="BodyText"/>
      </w:pPr>
      <w:r>
        <w:t>Operationally, technological capability in the Lall (1992) tradition is built from items that capture the firm’s ability to absorb, deploy, and improve foreign technology: foreign-licensed technology indicates direct technology transfer; internationally recognised quality certification indicates the organisational ability to meet foreign quality standards; product-innovation and R&amp;D activity indicate the absorptive capacity (năng lực hấp thụ in the Cohen &amp; Levinthal sense) needed to convert external knowledge into productivity gains. The constructed TCI_z therefore captures stock rather than flow: it indexes the firm’s accumulated capability to engage with foreign technology and standards, not the volume of any one digital transaction.</w:t>
      </w:r>
    </w:p>
    <w:p>
      <w:pPr>
        <w:pStyle w:val="BlockText"/>
      </w:pPr>
      <w:r>
        <w:t>H2. Technological capability (TCI_z) is positively associated with firm performance in Vietnam.</w:t>
      </w:r>
    </w:p>
    <w:p>
      <w:pPr>
        <w:pStyle w:val="Heading2"/>
      </w:pPr>
      <w:r>
        <w:t>2.3 Foundational digital adoption and firm performance</w:t>
      </w:r>
    </w:p>
    <w:p>
      <w:pPr>
        <w:pStyle w:val="FirstParagraph"/>
      </w:pPr>
      <w:r>
        <w:t>Foundational digital adoption captures a more basic layer of digital readiness than technological capability. It reflects the presence and use of digitally enabled interfaces, transaction-supporting tools, and practical digital mechanisms that help firms communicate, transact, and coordinate. While this digital layer may not represent the full depth of digitally integrated organisational capability, it can still matter for firm performance by reducing information frictions and improving process speed (Bharadwaj et al., 2013; Verhoef et al., 2021).</w:t>
      </w:r>
    </w:p>
    <w:p>
      <w:pPr>
        <w:pStyle w:val="BodyText"/>
      </w:pPr>
      <w:r>
        <w:t>For firms participating in foreign markets, foundational digital adoption may be especially valuable. Exporting requires timely information exchange, coordination with customers and partners, and efficient processing of transactions across distance. Digital tools can lower these frictions and create direct performance gains. At the same time, those gains are unlikely to be automatic. Their value depends on whether the firm has the scale, routines, and managerial capacity needed to use digital tools effectively.</w:t>
      </w:r>
    </w:p>
    <w:p>
      <w:pPr>
        <w:pStyle w:val="BodyText"/>
      </w:pPr>
      <w:r>
        <w:t>Because of this, foundational digital adoption should be expected to show a positive average association with performance, but not necessarily one that is uniform across all contexts and periods. The average effect may be positive even if the realised payoff varies across stages of internationalisation.</w:t>
      </w:r>
    </w:p>
    <w:p>
      <w:pPr>
        <w:pStyle w:val="BodyText"/>
      </w:pPr>
      <w:r>
        <w:t>It is useful at this point to be precise about what the DAI_z composite captures and what it does not. Following Verhoef et al. (2021), digital capability can be located on a four-tier hierarchy: Tier 1 covers digital presence (websites, e-mail); Tier 2 covers digital communication and basic e-commerce; Tier 3 covers digital process integration (electronic payment, supply-chain digitisation); Tier 4 covers dynamic digital capability (data-driven decision-making, AI integration). The cross-wave-comparable DAI_z used in this paper is anchored in Tier 1–2 indicators (website presence, foreign-licensed technology) rather than the Tier 3–4 dynamic-capability layer; richer Tier 3 items are introduced as a 2023-only robustness extension in §4.5. This deliberate restriction prevents us from conflating the basic digital-adoption channel — which is what the construct can identify across the 2009–2023 window — with the deeper digital-transformation layer that the WBES instrument cannot consistently measure across waves.</w:t>
      </w:r>
    </w:p>
    <w:p>
      <w:pPr>
        <w:pStyle w:val="BlockText"/>
      </w:pPr>
      <w:r>
        <w:t>H3. Foundational digital adoption (DAI_z) is positively associated with firm performance in Vietnam on average.</w:t>
      </w:r>
    </w:p>
    <w:p>
      <w:pPr>
        <w:pStyle w:val="Heading2"/>
      </w:pPr>
      <w:r>
        <w:t>2.4 Stage-contingent digital value</w:t>
      </w:r>
    </w:p>
    <w:p>
      <w:pPr>
        <w:pStyle w:val="FirstParagraph"/>
      </w:pPr>
      <w:r>
        <w:t>The core theoretical claim of this study is that digital capability is stage contingent. In early phases of internationalisation, digital tools may create relatively direct gains by helping firms communicate faster, access markets more easily, and manage transactions more efficiently. In later phases, however, the benefits of digitalisation may become more conditional because firms face more complex coordination demands. Under such conditions, the value of digital adoption depends increasingly on whether digital tools are embedded in broader organisational routines and aligned with export scale.</w:t>
      </w:r>
    </w:p>
    <w:p>
      <w:pPr>
        <w:pStyle w:val="BodyText"/>
      </w:pPr>
      <w:r>
        <w:t>This argument implies that digitalisation can be a double-edged sword in a transitional economy. It may generate observable gains, but those gains are uneven and dependent on timing, scale, and complementary capability. In some phases, digital adoption may operate mainly as a direct performance-enhancing factor. In others, it may weaken, disappear, or become conditional on the firm’s level of internationalisation.</w:t>
      </w:r>
    </w:p>
    <w:p>
      <w:pPr>
        <w:pStyle w:val="BodyText"/>
      </w:pPr>
      <w:r>
        <w:t>This expectation is particularly relevant in Vietnam, where firms operate in an environment of transition rather than full institutional and capability stability. A lifecycle interpretation is therefore more appropriate than a uniform premium interpretation.</w:t>
      </w:r>
    </w:p>
    <w:p>
      <w:pPr>
        <w:pStyle w:val="BodyText"/>
      </w:pPr>
      <w:r>
        <w:t>Two further considerations sharpen the prediction. First, when the exporter cohort is concentrated in low-export-intensity manufacturing, foundational digital tools mainly perform a market-access role: they help the firm find customers, communicate prices and product information, and process simple transactions. The marginal productivity gain from this role is positive but broadly distributed across the export-intensity range. Second, when the exporter cohort shifts toward firms that operate at higher export intensity and engage in tighter cross-border coordination, the same Tier 1–2 digital tools begin to interact with the marginal coordination cost of additional foreign markets. Whether this interaction is substitutive (digital tools lower coordination cost and amplify the productivity dividend) or complementary with diminishing returns (digital tools at high intensity reveal the absence of deeper integration and amplify coordination strain) is fundamentally an empirical question that this paper treats as the test of H4.</w:t>
      </w:r>
    </w:p>
    <w:p>
      <w:pPr>
        <w:pStyle w:val="BlockText"/>
      </w:pPr>
      <w:r>
        <w:t>H4. The performance relevance of foundational digital adoption (DAI_z) in Vietnam varies across stages of internationalisation and becomes more conditional in later phases of transition.</w:t>
      </w:r>
    </w:p>
    <w:p>
      <w:pPr>
        <w:pStyle w:val="Heading1"/>
      </w:pPr>
      <w:r>
        <w:t>3. Data, variables, and empirical strategy</w:t>
      </w:r>
    </w:p>
    <w:p>
      <w:pPr>
        <w:pStyle w:val="Heading2"/>
      </w:pPr>
      <w:r>
        <w:t>3.1 Data structure</w:t>
      </w:r>
    </w:p>
    <w:p>
      <w:pPr>
        <w:pStyle w:val="FirstParagraph"/>
      </w:pPr>
      <w:r>
        <w:t>The empirical analysis uses harmonised firm-level evidence for Vietnam across three waves of the World Bank Enterprise Survey: 2009, 2015, and 2023. Estimating the models separately by wave makes it possible to observe whether relationships are stable or time specific, while pooled estimation identifies average effects across the broader period.</w:t>
      </w:r>
    </w:p>
    <w:p>
      <w:pPr>
        <w:pStyle w:val="BodyText"/>
      </w:pPr>
      <w:r>
        <w:t>The effective estimation sample varies across model specifications because of missing values in the capability variables. In the full wave-specific models, the usable samples are 989 observations for 2009, 958 for 2015, and 1,013 for 2023. The pooled full model contains 2,960 observations. This structure provides sufficient variation to compare direct effects and conditional patterns across stages.</w:t>
      </w:r>
    </w:p>
    <w:p>
      <w:pPr>
        <w:pStyle w:val="Heading2"/>
      </w:pPr>
      <w:r>
        <w:t>3.2 Variables</w:t>
      </w:r>
    </w:p>
    <w:p>
      <w:pPr>
        <w:pStyle w:val="FirstParagraph"/>
      </w:pPr>
      <w:r>
        <w:t>Firm performance is measured by log labour productivity (lnLP). Internationalisation is measured by direct-export intensity (FSTS), mean-centred within wave (FSTS_c) and squared (FSTS_c²) so that linear and quadratic terms can be entered jointly to test for nonlinearity.</w:t>
      </w:r>
    </w:p>
    <w:p>
      <w:pPr>
        <w:pStyle w:val="BodyText"/>
      </w:pPr>
      <w:r>
        <w:t>The analysis uses two distinct capability constructs. The Technological Capability Index (TCI_z) captures deeper capability stocks related to learning, upgrading, and internal competence accumulation, anchored in Lall (1992) and Cohen &amp; Levinthal (1990). The Digital Adoption Index (DAI_z) captures a foundational layer of digital adoption — digital presence and basic digital transaction support — rather than higher-order digitally integrated organisational transformation (Bharadwaj et al., 2013; Verhoef et al., 2021). Each composite is z-standardised within wave so that the reported coefficients are comparable in magnitude. This separation is deliberate because the study is interested in whether the two domains exhibit different empirical roles.</w:t>
      </w:r>
    </w:p>
    <w:p>
      <w:pPr>
        <w:pStyle w:val="BodyText"/>
      </w:pPr>
      <w:r>
        <w:t>Item-level construction is as follows. Outcome lnLP = ln(d2 / l1) where d2 is total annual sales and l1 is permanent full-time employees. Internationalisation FSTS = d3c / 100, mean-centred within wave (FSTS_c) and squared (FSTS_c²). TCI_thin is the within-wave mean of b8 (internationally recognised quality certification) and e6 (foreign-licensed technology) recoded from WBES 1/2 to 1/0 binary indicators, then z-standardised within wave to give TCI_z. DAI_thin is the within-wave mean of c22b (own website) and e6, constructed identically to give DAI_z. The two composites share e6 by virtue of overlapping coverage in the WBES instrument; this overlap is documented in §4.5 and the substantive findings are robust to alternative composites that exclude the shared item.</w:t>
      </w:r>
    </w:p>
    <w:p>
      <w:pPr>
        <w:pStyle w:val="BodyText"/>
      </w:pPr>
      <w:r>
        <w:t>Two enriched composites are used in the §4.5 robustness panel where item availability allows. TCI_full adds h1 (introduced new or significantly improved product) and h8 (R&amp;D expenditure indicator) to the TCI_thin items; this richer composite is constructed for the 2015 and 2023 waves where h1 and h8 are present. DAI_rich adds k33 (sales received via electronic payment) and k38 (supplier payments via electronic payment) to the DAI_thin items, in both continuous (k33/100, k38/100) and binary (k33 &gt; 0, k38 &gt; 0) variants; this richer composite is constructed for the 2023 wave only because the payment items are not present in the earlier releases.</w:t>
      </w:r>
    </w:p>
    <w:p>
      <w:pPr>
        <w:pStyle w:val="BodyText"/>
      </w:pPr>
      <w:r>
        <w:t>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A note on missing-code handling. The WBES instrument codes don’t-know and refused responses as −9. We treat −9 as missing before any composite is built and apply listwise deletion on the focal variable set (lnLP, lnEmp, FirmAge, ForeignOwned, FSTS, TCI_thin, DAI_thin, sector1). The resulting analytic samples are 989, 958, and 1,013 observations for 2009, 2015, and 2023 respectively; pooled N is 2,960.</w:t>
      </w:r>
    </w:p>
    <w:p>
      <w:pPr>
        <w:pStyle w:val="Heading2"/>
      </w:pPr>
      <w:r>
        <w:t>3.3 Model sequence</w:t>
      </w:r>
    </w:p>
    <w:p>
      <w:pPr>
        <w:pStyle w:val="FirstParagraph"/>
      </w:pPr>
      <w:r>
        <w:t>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w:t>
      </w:r>
    </w:p>
    <w:p>
      <w:pPr>
        <w:pStyle w:val="BodyText"/>
      </w:pPr>
      <w:r>
        <w:t>This design separates three analytical questions. First, is the I–P relationship nonlinear? Second, are TCI_z and DAI_z directly associated with performance? Third, does the role of digital adoption become more conditional as export intensity rises? Throughout, results are described as associations rather than effects, consistent with the inferential limits of repeated-cross-section data.</w:t>
      </w:r>
    </w:p>
    <w:p>
      <w:pPr>
        <w:pStyle w:val="Heading2"/>
      </w:pPr>
      <w:r>
        <w:t>3.4 Replication and reproducibility</w:t>
      </w:r>
    </w:p>
    <w:p>
      <w:pPr>
        <w:pStyle w:val="FirstParagraph"/>
      </w:pPr>
      <w:r>
        <w:t>The full pipeline is implemented as a 10-step Stata blueprint distributed with the manuscript. The build steps (01–04) clean each WBES wave, harmonise the focal variable set, and append the three waves into a pooled file with within-wave centring and z-standardisation reapplied. Estimation steps (05–09) cover the M0–M8 nested sequence, the Lind–Mehlum turning-point check, manual Heckman selection probes, Paternoster (1998) cross-wave z-tests, and the robustness panels described in §4.5. The export step (10) writes the manuscript-facing tables and Figure 2 directly from the stored estimates. Rerunning the pipeline from a fresh clone reproduces every coefficient reported below; the manuscript text rather than the do-file output is the object that adjusts when the rerun drifts from the prose.</w:t>
      </w:r>
    </w:p>
    <w:p>
      <w:pPr>
        <w:pStyle w:val="Heading1"/>
      </w:pPr>
      <w:r>
        <w:t>4. Results</w:t>
      </w:r>
    </w:p>
    <w:p>
      <w:pPr>
        <w:pStyle w:val="FirstParagraph"/>
      </w:pPr>
      <w:r>
        <w:t>Table 1 reports analytic-sample summary statistics by wave. Three patterns are worth noting before the inferential analysis. The share of firms reporting any positive direct-export intensity declines from 28.4 % in 2009 to 20.8 % in 2015 to 18.8 % in 2023, reflecting the rebalancing of the Vietnamese exporter cohort away from labour-intensive manufacturing toward services and FDI-linked supply-chain firms during the observation window. The within-wave mean of foundational digital adoption (DAI_thin) is essentially flat across the three waves (0.301 / 0.359 / 0.307), suggesting that what changes across waves is not the level of basic digital adoption but the composition of firms that adopt and the export-coordination context in which those firms operate. The mean of log labour productivity rises monotonically (19.41 / 20.04 / 20.55), consistent with broader Vietnamese productivity convergence over the period.</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t>Variable</w:t>
            </w:r>
          </w:p>
        </w:tc>
        <w:tc>
          <w:tcPr>
            <w:tcW w:type="dxa" w:w="1872"/>
          </w:tcPr>
          <w:p>
            <w:r>
              <w:t>2009 (N = 989)</w:t>
            </w:r>
          </w:p>
        </w:tc>
        <w:tc>
          <w:tcPr>
            <w:tcW w:type="dxa" w:w="1872"/>
          </w:tcPr>
          <w:p>
            <w:r>
              <w:t>2015 (N = 958)</w:t>
            </w:r>
          </w:p>
        </w:tc>
        <w:tc>
          <w:tcPr>
            <w:tcW w:type="dxa" w:w="1872"/>
          </w:tcPr>
          <w:p>
            <w:r>
              <w:t>2023 (N = 1,013)</w:t>
            </w:r>
          </w:p>
        </w:tc>
        <w:tc>
          <w:tcPr>
            <w:tcW w:type="dxa" w:w="1872"/>
          </w:tcPr>
          <w:p>
            <w:r>
              <w:t>Pooled (N = 2,960)</w:t>
            </w:r>
          </w:p>
        </w:tc>
      </w:tr>
      <w:tr>
        <w:tc>
          <w:tcPr>
            <w:tcW w:type="dxa" w:w="1872"/>
          </w:tcPr>
          <w:p>
            <w:r>
              <w:t>lnLP (log labour productivity)</w:t>
            </w:r>
          </w:p>
        </w:tc>
        <w:tc>
          <w:tcPr>
            <w:tcW w:type="dxa" w:w="1872"/>
          </w:tcPr>
          <w:p>
            <w:r>
              <w:t>19.41 (1.31)</w:t>
            </w:r>
          </w:p>
        </w:tc>
        <w:tc>
          <w:tcPr>
            <w:tcW w:type="dxa" w:w="1872"/>
          </w:tcPr>
          <w:p>
            <w:r>
              <w:t>20.04 (1.46)</w:t>
            </w:r>
          </w:p>
        </w:tc>
        <w:tc>
          <w:tcPr>
            <w:tcW w:type="dxa" w:w="1872"/>
          </w:tcPr>
          <w:p>
            <w:r>
              <w:t>20.55 (1.47)</w:t>
            </w:r>
          </w:p>
        </w:tc>
        <w:tc>
          <w:tcPr>
            <w:tcW w:type="dxa" w:w="1872"/>
          </w:tcPr>
          <w:p>
            <w:r>
              <w:t>20.00 (1.49)</w:t>
            </w:r>
          </w:p>
        </w:tc>
      </w:tr>
      <w:tr>
        <w:tc>
          <w:tcPr>
            <w:tcW w:type="dxa" w:w="1872"/>
          </w:tcPr>
          <w:p>
            <w:r>
              <w:t>FSTS (direct-export share)</w:t>
            </w:r>
          </w:p>
        </w:tc>
        <w:tc>
          <w:tcPr>
            <w:tcW w:type="dxa" w:w="1872"/>
          </w:tcPr>
          <w:p>
            <w:r>
              <w:t>0.168 (0.337)</w:t>
            </w:r>
          </w:p>
        </w:tc>
        <w:tc>
          <w:tcPr>
            <w:tcW w:type="dxa" w:w="1872"/>
          </w:tcPr>
          <w:p>
            <w:r>
              <w:t>0.120 (0.284)</w:t>
            </w:r>
          </w:p>
        </w:tc>
        <w:tc>
          <w:tcPr>
            <w:tcW w:type="dxa" w:w="1872"/>
          </w:tcPr>
          <w:p>
            <w:r>
              <w:t>0.131 (0.311)</w:t>
            </w:r>
          </w:p>
        </w:tc>
        <w:tc>
          <w:tcPr>
            <w:tcW w:type="dxa" w:w="1872"/>
          </w:tcPr>
          <w:p>
            <w:r>
              <w:t>0.140 (0.312)</w:t>
            </w:r>
          </w:p>
        </w:tc>
      </w:tr>
      <w:tr>
        <w:tc>
          <w:tcPr>
            <w:tcW w:type="dxa" w:w="1872"/>
          </w:tcPr>
          <w:p>
            <w:r>
              <w:t>Exporter (FSTS &gt; 0) share</w:t>
            </w:r>
          </w:p>
        </w:tc>
        <w:tc>
          <w:tcPr>
            <w:tcW w:type="dxa" w:w="1872"/>
          </w:tcPr>
          <w:p>
            <w:r>
              <w:t>0.284</w:t>
            </w:r>
          </w:p>
        </w:tc>
        <w:tc>
          <w:tcPr>
            <w:tcW w:type="dxa" w:w="1872"/>
          </w:tcPr>
          <w:p>
            <w:r>
              <w:t>0.208</w:t>
            </w:r>
          </w:p>
        </w:tc>
        <w:tc>
          <w:tcPr>
            <w:tcW w:type="dxa" w:w="1872"/>
          </w:tcPr>
          <w:p>
            <w:r>
              <w:t>0.188</w:t>
            </w:r>
          </w:p>
        </w:tc>
        <w:tc>
          <w:tcPr>
            <w:tcW w:type="dxa" w:w="1872"/>
          </w:tcPr>
          <w:p>
            <w:r>
              <w:t>0.226</w:t>
            </w:r>
          </w:p>
        </w:tc>
      </w:tr>
      <w:tr>
        <w:tc>
          <w:tcPr>
            <w:tcW w:type="dxa" w:w="1872"/>
          </w:tcPr>
          <w:p>
            <w:r>
              <w:t>TCI_thin (mean of b8, e6 recoded)</w:t>
            </w:r>
          </w:p>
        </w:tc>
        <w:tc>
          <w:tcPr>
            <w:tcW w:type="dxa" w:w="1872"/>
          </w:tcPr>
          <w:p>
            <w:r>
              <w:t>0.169 (0.305)</w:t>
            </w:r>
          </w:p>
        </w:tc>
        <w:tc>
          <w:tcPr>
            <w:tcW w:type="dxa" w:w="1872"/>
          </w:tcPr>
          <w:p>
            <w:r>
              <w:t>0.141 (0.295)</w:t>
            </w:r>
          </w:p>
        </w:tc>
        <w:tc>
          <w:tcPr>
            <w:tcW w:type="dxa" w:w="1872"/>
          </w:tcPr>
          <w:p>
            <w:r>
              <w:t>0.146 (0.276)</w:t>
            </w:r>
          </w:p>
        </w:tc>
        <w:tc>
          <w:tcPr>
            <w:tcW w:type="dxa" w:w="1872"/>
          </w:tcPr>
          <w:p>
            <w:r>
              <w:t>0.152 (0.292)</w:t>
            </w:r>
          </w:p>
        </w:tc>
      </w:tr>
      <w:tr>
        <w:tc>
          <w:tcPr>
            <w:tcW w:type="dxa" w:w="1872"/>
          </w:tcPr>
          <w:p>
            <w:r>
              <w:t>DAI_thin (mean of c22b, e6 recoded)</w:t>
            </w:r>
          </w:p>
        </w:tc>
        <w:tc>
          <w:tcPr>
            <w:tcW w:type="dxa" w:w="1872"/>
          </w:tcPr>
          <w:p>
            <w:r>
              <w:t>0.301 (0.373)</w:t>
            </w:r>
          </w:p>
        </w:tc>
        <w:tc>
          <w:tcPr>
            <w:tcW w:type="dxa" w:w="1872"/>
          </w:tcPr>
          <w:p>
            <w:r>
              <w:t>0.359 (0.397)</w:t>
            </w:r>
          </w:p>
        </w:tc>
        <w:tc>
          <w:tcPr>
            <w:tcW w:type="dxa" w:w="1872"/>
          </w:tcPr>
          <w:p>
            <w:r>
              <w:t>0.307 (0.316)</w:t>
            </w:r>
          </w:p>
        </w:tc>
        <w:tc>
          <w:tcPr>
            <w:tcW w:type="dxa" w:w="1872"/>
          </w:tcPr>
          <w:p>
            <w:r>
              <w:t>0.322 (0.363)</w:t>
            </w:r>
          </w:p>
        </w:tc>
      </w:tr>
      <w:tr>
        <w:tc>
          <w:tcPr>
            <w:tcW w:type="dxa" w:w="1872"/>
          </w:tcPr>
          <w:p>
            <w:r>
              <w:t>lnEmp (log permanent employees)</w:t>
            </w:r>
          </w:p>
        </w:tc>
        <w:tc>
          <w:tcPr>
            <w:tcW w:type="dxa" w:w="1872"/>
          </w:tcPr>
          <w:p>
            <w:r>
              <w:t>4.07 (1.49)</w:t>
            </w:r>
          </w:p>
        </w:tc>
        <w:tc>
          <w:tcPr>
            <w:tcW w:type="dxa" w:w="1872"/>
          </w:tcPr>
          <w:p>
            <w:r>
              <w:t>3.63 (1.48)</w:t>
            </w:r>
          </w:p>
        </w:tc>
        <w:tc>
          <w:tcPr>
            <w:tcW w:type="dxa" w:w="1872"/>
          </w:tcPr>
          <w:p>
            <w:r>
              <w:t>3.58 (1.54)</w:t>
            </w:r>
          </w:p>
        </w:tc>
        <w:tc>
          <w:tcPr>
            <w:tcW w:type="dxa" w:w="1872"/>
          </w:tcPr>
          <w:p>
            <w:r>
              <w:t>3.76 (1.52)</w:t>
            </w:r>
          </w:p>
        </w:tc>
      </w:tr>
      <w:tr>
        <w:tc>
          <w:tcPr>
            <w:tcW w:type="dxa" w:w="1872"/>
          </w:tcPr>
          <w:p>
            <w:r>
              <w:t>FirmAge (years since b5)</w:t>
            </w:r>
          </w:p>
        </w:tc>
        <w:tc>
          <w:tcPr>
            <w:tcW w:type="dxa" w:w="1872"/>
          </w:tcPr>
          <w:p>
            <w:r>
              <w:t>11.9 (11.3)</w:t>
            </w:r>
          </w:p>
        </w:tc>
        <w:tc>
          <w:tcPr>
            <w:tcW w:type="dxa" w:w="1872"/>
          </w:tcPr>
          <w:p>
            <w:r>
              <w:t>12.8 (9.6)</w:t>
            </w:r>
          </w:p>
        </w:tc>
        <w:tc>
          <w:tcPr>
            <w:tcW w:type="dxa" w:w="1872"/>
          </w:tcPr>
          <w:p>
            <w:r>
              <w:t>14.1 (7.9)</w:t>
            </w:r>
          </w:p>
        </w:tc>
        <w:tc>
          <w:tcPr>
            <w:tcW w:type="dxa" w:w="1872"/>
          </w:tcPr>
          <w:p>
            <w:r>
              <w:t>12.9 (9.7)</w:t>
            </w:r>
          </w:p>
        </w:tc>
      </w:tr>
      <w:tr>
        <w:tc>
          <w:tcPr>
            <w:tcW w:type="dxa" w:w="1872"/>
          </w:tcPr>
          <w:p>
            <w:r>
              <w:t>ForeignOwned (b2b &gt; 0) share</w:t>
            </w:r>
          </w:p>
        </w:tc>
        <w:tc>
          <w:tcPr>
            <w:tcW w:type="dxa" w:w="1872"/>
          </w:tcPr>
          <w:p>
            <w:r>
              <w:t>0.142</w:t>
            </w:r>
          </w:p>
        </w:tc>
        <w:tc>
          <w:tcPr>
            <w:tcW w:type="dxa" w:w="1872"/>
          </w:tcPr>
          <w:p>
            <w:r>
              <w:t>0.090</w:t>
            </w:r>
          </w:p>
        </w:tc>
        <w:tc>
          <w:tcPr>
            <w:tcW w:type="dxa" w:w="1872"/>
          </w:tcPr>
          <w:p>
            <w:r>
              <w:t>0.125</w:t>
            </w:r>
          </w:p>
        </w:tc>
        <w:tc>
          <w:tcPr>
            <w:tcW w:type="dxa" w:w="1872"/>
          </w:tcPr>
          <w:p>
            <w:r>
              <w:t>0.119</w:t>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t>ISIC sector FE</w:t>
            </w:r>
          </w:p>
        </w:tc>
        <w:tc>
          <w:tcPr>
            <w:tcW w:type="dxa" w:w="1872"/>
          </w:tcPr>
          <w:p>
            <w:r>
              <w:t>a4b 1-digit</w:t>
            </w:r>
          </w:p>
        </w:tc>
        <w:tc>
          <w:tcPr>
            <w:tcW w:type="dxa" w:w="1872"/>
          </w:tcPr>
          <w:p>
            <w:r>
              <w:t>a4b 1-digit</w:t>
            </w:r>
          </w:p>
        </w:tc>
        <w:tc>
          <w:tcPr>
            <w:tcW w:type="dxa" w:w="1872"/>
          </w:tcPr>
          <w:p>
            <w:r>
              <w:t>a4a 1-digit</w:t>
            </w:r>
          </w:p>
        </w:tc>
        <w:tc>
          <w:tcPr>
            <w:tcW w:type="dxa" w:w="1872"/>
          </w:tcPr>
          <w:p>
            <w:r>
              <w:t>wave + a4b/a4a 1-digit</w:t>
            </w:r>
          </w:p>
        </w:tc>
      </w:tr>
    </w:tbl>
    <w:p>
      <w:pPr>
        <w:pStyle w:val="BodyText"/>
      </w:pPr>
      <w:r>
        <w:t>Notes. Cell entries are mean (standard deviation) for continuous variables and proportion for binary indicators. Listwise deletion is applied on the focal variable set with WBES non-response codes (−9) treated as missing. Source: replication script p4_vietnam/output/tables/table_1_descriptives.csv.</w:t>
      </w:r>
    </w:p>
    <w:p>
      <w:pPr>
        <w:pStyle w:val="Heading2"/>
      </w:pPr>
      <w:r>
        <w:t>4.1 Wave-specific findings</w:t>
      </w:r>
    </w:p>
    <w:p>
      <w:pPr>
        <w:pStyle w:val="FirstParagraph"/>
      </w:pPr>
      <w:r>
        <w:t>The 2009 wave is characterised by a clearly nonlinear I–P relationship and strong direct capability effects. The inverted-U specification (M2) yields a positive linear term (β = 1.045, p = .015) and a negative quadratic term (β = −1.774, p = .009); the Lind–Mehlum test rejects the monotonicity null at p = .006. In the dual-direct specification (M7) both TCI_z (β = 0.204, p &lt; .001) and DAI_z (β = 0.127, p = .005) are positive and significant. The TCI moderation joint test is significant in 2009 (M3 joint p = .040, with FSTS_c × TCI_z = −0.579, p = .087), but the DAI moderation tests are not (M4 joint p = .728; full-model M8 joint p = .435). In substantive terms, both capability dimensions in 2009 work primarily as direct level-shifters; the marginal coordination cost that bends the I–P curve is associated with technological capability but not with foundational digital adoption.</w:t>
      </w:r>
    </w:p>
    <w:p>
      <w:pPr>
        <w:pStyle w:val="BodyText"/>
      </w:pPr>
      <w:r>
        <w:t>The 2015 wave shows the curvature most cleanly but the weakest digital channel. M2 produces FSTS_c β = 1.151 (p = .030) and FSTS_c² β = −2.082 (p = .005), with a Lind–Mehlum p = .009. TCI_z retains a positive direct association in the dual-direct model (β = 0.129, p = .016) but its magnitude is roughly two-thirds of the 2009 estimate. DAI_z loses direct salience entirely (β = −0.032, p = .574). Neither TCI moderation (M3 joint p = .665) nor DAI moderation (M4 joint p = .298; M8 joint p = .160) is statistically distinguishable from zero in this wave. Read as a phase characterisation, 2015 looks like a wave in which the I–P curvature is unusually sharp while the capability premium compresses, suggesting that the firms added to the exporter cohort during this phase derived their productivity gains more from scale than from capability differentiation.</w:t>
      </w:r>
    </w:p>
    <w:p>
      <w:pPr>
        <w:pStyle w:val="BodyText"/>
      </w:pPr>
      <w:r>
        <w:t>The 2023 wave is where the digital-moderation signal emerges. M2 again indicates a clear inverted-U (FSTS_c β = 0.962, p = .039; FSTS_c² β = −1.686, p = .008; Lind–Mehlum p = .012). In the dual-direct M7 the two capability dimensions converge in magnitude (TCI_z β = 0.091, p = .075, marginal; DAI_z β = 0.099, p = .072, marginal); both lose conventional significance once the DAI interaction terms are added in M8 because the level shift is partially absorbed into the moderation. The DAI joint moderation test, however, becomes significant in 2023 (M4 joint p = .043; full-model M8 joint p = .013), driven by a negative linear interaction (FSTS_c × DAI_z = −0.637, p = .074, marginal) and a positive quadratic interaction (FSTS_c² × DAI_z = 0.509, p = .322). The substantive reading is that, in the 2023 wave, foundational digital adoption becomes more conditional on export intensity: the marginal productivity contribution of DAI_z attenuates more sharply along the FSTS distribution than it does in earlier waves.</w:t>
      </w:r>
    </w:p>
    <w:p>
      <w:pPr>
        <w:pStyle w:val="BodyText"/>
      </w:pPr>
      <w:r>
        <w:t>Taken together, the wave-specific results suggest two distinct lifecycle patterns rather than a single one. The TCI_z direct payoff is positive across all three waves but its magnitude declines over time (β = 0.204 → 0.129 → 0.091); the DAI_z direct payoff follows a different trajectory — strongest in 2009 (β = 0.127, p = .005), null in 2015 (β = −0.032), and marginal in 2023 (β = 0.099). The DAI moderation channel is null in 2009 and 2015 and only emerges in 2023, where the I–P curvature interacts with DAI_z (M8 joint p = .013).</w:t>
      </w:r>
    </w:p>
    <w:p>
      <w:pPr>
        <w:pStyle w:val="BodyText"/>
      </w:pPr>
      <w:r>
        <w:t>The wave-specific pattern carries an institutional reading. The 2009 wave captures the early aftermath of WTO accession, when the marginal exporter was still in the entry-cost zone of the I–P curve, when capability stocks were the scarce resource, and when foundational digital tools — even at the website-only layer — generated direct gains because the alternative was paper-based transaction processing. The 2015 wave captures a transitional phase in which the I–P curvature is unusually sharp (FSTS_c² = −2.082, p = .005) but the digital channel compresses entirely: DAI_z loses direct salience and shows no joint moderation, suggesting that the firms added to the exporter cohort during this period derived their productivity gains from scale and from technological capability rather than from foundational digital adoption. The 2023 wave captures the re-emergence of the digital channel as a moderator rather than as a uniform direct premium: the post-NDTP digital infrastructure makes foundational digital adoption interact with export intensity, and the negative FSTS_c × DAI_z interaction shows that this conditional channel binds primarily at higher export intensity rather than uniformly across the export-intensity range.</w:t>
      </w:r>
    </w:p>
    <w:p>
      <w:pPr>
        <w:pStyle w:val="Heading2"/>
      </w:pPr>
      <w:r>
        <w:t>4.2 Pooled findings</w:t>
      </w:r>
    </w:p>
    <w:p>
      <w:pPr>
        <w:pStyle w:val="FirstParagraph"/>
      </w:pPr>
      <w:r>
        <w:t>The pooled results confirm that the I–P relationship is nonlinear on average. In the pooled nonlinear M2, the linear FSTS_c term is positive and significant (β = 0.981, p = .001) while the quadratic FSTS_c² term is negative and significant (β = −1.898, p &lt; .001); the Lind–Mehlum test rejects monotonicity at p &lt; .001. The curvature persists in the full M8 (FSTS_c β = 0.820, p = .007; FSTS_c² β = −1.612, p &lt; .001), supporting H1 and aligning with the broader nonlinear logic emphasised in prior international business research (Marano et al., 2016).</w:t>
      </w:r>
    </w:p>
    <w:p>
      <w:pPr>
        <w:pStyle w:val="BodyText"/>
      </w:pPr>
      <w:r>
        <w:t>The pooled evidence shows that both capability dimensions are positively associated with firm performance on average, but their magnitudes differ. In the pooled M7 dual-direct specification, TCI_z is positive and highly significant (β = 0.169, p &lt; .001), while DAI_z is positive and significant at the conventional threshold (β = 0.063, p = .036). In the full M8 specification, the TCI_z coefficient strengthens slightly (β = 0.182, p &lt; .001) while the DAI_z direct coefficient becomes statistically indistinguishable from zero (β = 0.028, p = .588) once the interaction terms are entered. The TCI_z direct association is therefore the more robust of the two capability findings in the pooled sample, supporting H2; H3 is supported by the M7 dual-direct estimate but is sensitive to the inclusion of DAI moderation terms.</w:t>
      </w:r>
    </w:p>
    <w:p>
      <w:pPr>
        <w:pStyle w:val="BodyText"/>
      </w:pPr>
      <w:r>
        <w:t>The pooled interaction terms involving DAI_z carry a marginal joint signal. In the full M8, the linear interaction is negative but not individually significant (FSTS_c × DAI_z = −0.375, p = .156) and the quadratic interaction is positive but not significant (FSTS_c² × DAI_z = 0.311, p = .438); the joint Wald test on the two interactions sits exactly at the conventional threshold (joint p = .050). This pooled signal is driven primarily by the 2023 wave: the M4 joint moderation test on DAI is null in 2009 (p = .728) and 2015 (p = .298), and only becomes significant in 2023 (M4 joint p = .043; M8 joint p = .013). Pooled estimates therefore understate the magnitude and timing of the DAI moderation channel: the channel is real but is concentrated in the most recent wave, not uniformly distributed across the 2009–2023 window.</w:t>
      </w:r>
    </w:p>
    <w:p>
      <w:pPr>
        <w:pStyle w:val="BodyText"/>
      </w:pPr>
      <w:r>
        <w:t>TCI moderation, by contrast, is more uniformly distributed: the M3 joint test on FSTS_c × TCI_z and FSTS_c² × TCI_z is significant in three of four panels (2009 p = .040, 2023 p = .027, pooled p = .003) and null only in 2015 (p = .665). Pooled, the linear interaction is negative (FSTS_c × TCI_z = −0.568, p = .004) and the quadratic is positive (FSTS_c² × TCI_z = 0.616, p = .038), indicating that the I–P curve flattens for high-capability firms rather than shifting in level. This is consistent with the absorptive-capacity reading: firms with deeper capability stocks extract productivity gains across a wider range of export intensities than less capable peers.</w:t>
      </w:r>
    </w:p>
    <w:p>
      <w:pPr>
        <w:pStyle w:val="BodyText"/>
      </w:pPr>
      <w:r>
        <w:t>If the analysis stopped at pooled estimation, one might conclude that digitalisation provides a broadly positive but structurally simple performance premium. The wave-specific evidence shows that this conclusion would be incomplete. The positive pooled average coexists with substantial temporal heterogeneity, and the conditional role of digital adoption emerges more clearly only in the later wave.</w:t>
      </w:r>
    </w:p>
    <w:p>
      <w:pPr>
        <w:pStyle w:val="Heading2"/>
      </w:pPr>
      <w:r>
        <w:t>4.3 Interpretation of the hypothesis tests</w:t>
      </w:r>
    </w:p>
    <w:p>
      <w:pPr>
        <w:pStyle w:val="FirstParagraph"/>
      </w:pPr>
      <w:r>
        <w:t>H1 is strongly supported. The Lind–Mehlum test rejects the monotonicity null in all three waves (2009 p = .006, 2015 p = .009, 2023 p = .012) and in the pooled sample (p &lt; .001), and the implied turning points are tightly bunched between 39.6 % (2015) and 46.2 % (2009) of direct-export intensity, with the pooled estimate at 39.8 %. H2 is supported by the positive direct TCI_z association in the pooled sample and in two of three wave-specific periods (2009 p &lt; .001; 2015 p = .016; 2023 p = .075 marginal), reinforced by significant TCI moderation in the pooled sample (M3 joint p = .003) and in 2009 (p = .040) and 2023 (p = .027). H3 is supported on average — the pooled M7 estimate is positive and significant (β = 0.063, p = .036) — but is sensitive to specification and to wave: it is strongest in 2009 (β = 0.127, p = .005) and is statistically null in 2015 (β = −0.032, p = .574).</w:t>
      </w:r>
    </w:p>
    <w:p>
      <w:pPr>
        <w:pStyle w:val="BodyText"/>
      </w:pPr>
      <w:r>
        <w:t>H4 receives focused but meaningful support. The DAI joint moderation test is null in 2009 (M4 p = .728) and 2015 (M4 p = .298), and only becomes significant in 2023 (M4 joint p = .043; full-model M8 joint p = .013). The pooled M8 joint test sits exactly at the conventional threshold (p = .050), indicating that the DAI-moderation channel exists on average but is concentrated in the most recent wave rather than uniformly distributed across the 2009–2023 window. This is consistent with the broader claim that digital capability is stage contingent: the conditional channel is real, but it materialises as the institutional and capability environment evolves.</w:t>
      </w:r>
    </w:p>
    <w:p>
      <w:pPr>
        <w:pStyle w:val="Heading2"/>
      </w:pPr>
      <w:r>
        <w:t>4.4 Main empirical pattern</w:t>
      </w:r>
    </w:p>
    <w:p>
      <w:pPr>
        <w:pStyle w:val="FirstParagraph"/>
      </w:pPr>
      <w:r>
        <w:t>Table 1 summarises the directional interpretation of the focal coefficients from the full specifications by wave and for the pooled sample.</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t>Wave / model</w:t>
            </w:r>
          </w:p>
        </w:tc>
        <w:tc>
          <w:tcPr>
            <w:tcW w:type="dxa" w:w="1872"/>
          </w:tcPr>
          <w:p>
            <w:r>
              <w:t>I–P relationship</w:t>
            </w:r>
          </w:p>
        </w:tc>
        <w:tc>
          <w:tcPr>
            <w:tcW w:type="dxa" w:w="1872"/>
          </w:tcPr>
          <w:p>
            <w:r>
              <w:t>TCI_z direct</w:t>
            </w:r>
          </w:p>
        </w:tc>
        <w:tc>
          <w:tcPr>
            <w:tcW w:type="dxa" w:w="1872"/>
          </w:tcPr>
          <w:p>
            <w:r>
              <w:t>DAI_z direct</w:t>
            </w:r>
          </w:p>
        </w:tc>
        <w:tc>
          <w:tcPr>
            <w:tcW w:type="dxa" w:w="1872"/>
          </w:tcPr>
          <w:p>
            <w:r>
              <w:t>DAI_z interaction</w:t>
            </w:r>
          </w:p>
        </w:tc>
      </w:tr>
      <w:tr>
        <w:tc>
          <w:tcPr>
            <w:tcW w:type="dxa" w:w="1872"/>
          </w:tcPr>
          <w:p>
            <w:r>
              <w:t>2009</w:t>
            </w:r>
          </w:p>
        </w:tc>
        <w:tc>
          <w:tcPr>
            <w:tcW w:type="dxa" w:w="1872"/>
          </w:tcPr>
          <w:p>
            <w:r>
              <w:t>Inverted-U: FSTS_c 1.045** / FSTS_c² −1.774**; LM p = .006</w:t>
            </w:r>
          </w:p>
        </w:tc>
        <w:tc>
          <w:tcPr>
            <w:tcW w:type="dxa" w:w="1872"/>
          </w:tcPr>
          <w:p>
            <w:r>
              <w:t>0.204 *** (M7)</w:t>
            </w:r>
          </w:p>
        </w:tc>
        <w:tc>
          <w:tcPr>
            <w:tcW w:type="dxa" w:w="1872"/>
          </w:tcPr>
          <w:p>
            <w:r>
              <w:t>0.127 ** (M7)</w:t>
            </w:r>
          </w:p>
        </w:tc>
        <w:tc>
          <w:tcPr>
            <w:tcW w:type="dxa" w:w="1872"/>
          </w:tcPr>
          <w:p>
            <w:r>
              <w:t>M4 joint p = .728 n.s.; M8 joint p = .435 n.s.</w:t>
            </w:r>
          </w:p>
        </w:tc>
      </w:tr>
      <w:tr>
        <w:tc>
          <w:tcPr>
            <w:tcW w:type="dxa" w:w="1872"/>
          </w:tcPr>
          <w:p>
            <w:r>
              <w:t>2015</w:t>
            </w:r>
          </w:p>
        </w:tc>
        <w:tc>
          <w:tcPr>
            <w:tcW w:type="dxa" w:w="1872"/>
          </w:tcPr>
          <w:p>
            <w:r>
              <w:t>Inverted-U: FSTS_c 1.151* / FSTS_c² −2.082**; LM p = .009</w:t>
            </w:r>
          </w:p>
        </w:tc>
        <w:tc>
          <w:tcPr>
            <w:tcW w:type="dxa" w:w="1872"/>
          </w:tcPr>
          <w:p>
            <w:r>
              <w:t>0.129 * (M7)</w:t>
            </w:r>
          </w:p>
        </w:tc>
        <w:tc>
          <w:tcPr>
            <w:tcW w:type="dxa" w:w="1872"/>
          </w:tcPr>
          <w:p>
            <w:r>
              <w:t>−0.032 (p = .574) n.s.</w:t>
            </w:r>
          </w:p>
        </w:tc>
        <w:tc>
          <w:tcPr>
            <w:tcW w:type="dxa" w:w="1872"/>
          </w:tcPr>
          <w:p>
            <w:r>
              <w:t>M4 joint p = .298 n.s.; M8 joint p = .160 n.s.</w:t>
            </w:r>
          </w:p>
        </w:tc>
      </w:tr>
      <w:tr>
        <w:tc>
          <w:tcPr>
            <w:tcW w:type="dxa" w:w="1872"/>
          </w:tcPr>
          <w:p>
            <w:r>
              <w:t>2023</w:t>
            </w:r>
          </w:p>
        </w:tc>
        <w:tc>
          <w:tcPr>
            <w:tcW w:type="dxa" w:w="1872"/>
          </w:tcPr>
          <w:p>
            <w:r>
              <w:t>Inverted-U: FSTS_c 0.962* / FSTS_c² −1.686**; LM p = .012</w:t>
            </w:r>
          </w:p>
        </w:tc>
        <w:tc>
          <w:tcPr>
            <w:tcW w:type="dxa" w:w="1872"/>
          </w:tcPr>
          <w:p>
            <w:r>
              <w:t>0.091 † (M7, marginal)</w:t>
            </w:r>
          </w:p>
        </w:tc>
        <w:tc>
          <w:tcPr>
            <w:tcW w:type="dxa" w:w="1872"/>
          </w:tcPr>
          <w:p>
            <w:r>
              <w:t>0.099 † (M7, marginal)</w:t>
            </w:r>
          </w:p>
        </w:tc>
        <w:tc>
          <w:tcPr>
            <w:tcW w:type="dxa" w:w="1872"/>
          </w:tcPr>
          <w:p>
            <w:r>
              <w:t>M4 joint p = .043 *; M8 joint p = .013 *; FSTS_c × DAI_z = −0.637 †</w:t>
            </w:r>
          </w:p>
        </w:tc>
      </w:tr>
      <w:tr>
        <w:tc>
          <w:tcPr>
            <w:tcW w:type="dxa" w:w="1872"/>
          </w:tcPr>
          <w:p>
            <w:r>
              <w:t>Pooled</w:t>
            </w:r>
          </w:p>
        </w:tc>
        <w:tc>
          <w:tcPr>
            <w:tcW w:type="dxa" w:w="1872"/>
          </w:tcPr>
          <w:p>
            <w:r>
              <w:t>Inverted-U: FSTS_c 0.981** / FSTS_c² −1.898***; LM p &lt; .001</w:t>
            </w:r>
          </w:p>
        </w:tc>
        <w:tc>
          <w:tcPr>
            <w:tcW w:type="dxa" w:w="1872"/>
          </w:tcPr>
          <w:p>
            <w:r>
              <w:t>0.169 *** (M7)</w:t>
            </w:r>
          </w:p>
        </w:tc>
        <w:tc>
          <w:tcPr>
            <w:tcW w:type="dxa" w:w="1872"/>
          </w:tcPr>
          <w:p>
            <w:r>
              <w:t>0.063 * (M7); 0.028 n.s. (M8)</w:t>
            </w:r>
          </w:p>
        </w:tc>
        <w:tc>
          <w:tcPr>
            <w:tcW w:type="dxa" w:w="1872"/>
          </w:tcPr>
          <w:p>
            <w:r>
              <w:t>M4 joint p = .417 n.s.; M8 joint p = .050</w:t>
            </w:r>
          </w:p>
        </w:tc>
      </w:tr>
    </w:tbl>
    <w:p>
      <w:pPr>
        <w:pStyle w:val="BodyText"/>
      </w:pPr>
      <w:r>
        <w:t>Notes. Cell entries report β coefficients with HC1-robust p-values from the full specifications. n.s. = not statistically significant at conventional thresholds. Interaction terms entered as FSTS_c × DAI_z and FSTS_c² × DAI_z; the table reports the focal linear interaction.</w:t>
      </w:r>
    </w:p>
    <w:p>
      <w:pPr>
        <w:pStyle w:val="Heading2"/>
      </w:pPr>
      <w:r>
        <w:t>4.5 Robustness</w:t>
      </w:r>
    </w:p>
    <w:p>
      <w:pPr>
        <w:pStyle w:val="FirstParagraph"/>
      </w:pPr>
      <w:r>
        <w:t>Four robustness panels test whether the central inferences depend on measurement choices, sample composition, or the cross-wave alignment of the DAI construct. The panels are estimated on the same OLS HC1 design as the main models and are written to p4_vietnam/output/tables/table_3_robustness.csv.</w:t>
      </w:r>
    </w:p>
    <w:p>
      <w:pPr>
        <w:pStyle w:val="BodyText"/>
      </w:pPr>
      <w:r>
        <w:t>Panel A — Enriched TCI_full composite (2015 and 2023, where h1 product innovation and h8 R&amp;D indicators are available). Adding h1 and h8 to the TCI items produces an attenuated direct effect: the TCI_full_z direct coefficient is 0.048 (p = .353) in 2015 and 0.067 (p = .161) in 2023 — both non-significant against the TCI_thin estimates of 0.129 and 0.091. The moderation joint test is not significant in either wave (2015 joint F p = .473; 2023 joint F p = .152). Read together with the main TCI_thin results, this attenuation is consistent with the interpretation that the TCI_thin items (b8 quality certification and e6 foreign-licensed technology) capture a sharper foreign-capability content than the broader product-innovation and R&amp;D items add. The TCI_thin specification is therefore retained as the primary measurement throughout the paper.</w:t>
      </w:r>
    </w:p>
    <w:p>
      <w:pPr>
        <w:pStyle w:val="BodyText"/>
      </w:pPr>
      <w:r>
        <w:t>Panel B — Enriched DAI_rich composite (2023 only). Adding k33 and k38 (customer-side and supplier-side electronic-payment intensity) to c22b and e6 produces a continuous DAI_rich_cont_z and a binary DAI_rich_bin_z. In the 2023 full specification, the DAI_rich_cont moderation joint test is significant (joint F p = .041, with FSTS_c × DAI_rich_cont_z = −0.769, p = .108); the binary version is marginal (joint F p = .101). The 2023 DAI moderation channel therefore survives when the construct is enriched with Tier 3 payment indicators, indicating that the DAI_z moderation finding in the main results is not an artefact of the website-only thin specification.</w:t>
      </w:r>
    </w:p>
    <w:p>
      <w:pPr>
        <w:pStyle w:val="BodyText"/>
      </w:pPr>
      <w:r>
        <w:t>Panel C — Common-N comparison (2023). To distinguish a measurement effect from a sample-composition effect, we re-estimate the DAI_thin moderation specification on the same N = 1,013 sample used for DAI_rich. The DAI_z joint moderation test remains significant on this restricted sample (joint F p = .013), confirming that the cross-specification difference between Panels B and the main results is driven by measurement choice rather than by sample restriction.</w:t>
      </w:r>
    </w:p>
    <w:p>
      <w:pPr>
        <w:pStyle w:val="BodyText"/>
      </w:pPr>
      <w:r>
        <w:t>Panel D — Micro-firm exclusion (l1 ≥ 10). Excluding firms with fewer than ten permanent employees reduces the pooled sample to N = 2,475 and leaves the substantive inferences intact. The inverted-U is preserved (FSTS_c β = 0.787, p = .008; FSTS_c² β = −1.634, p &lt; .001), the TCI_z direct association is essentially unchanged (β = 0.180, p &lt; .001), and the DAI moderation joint test in the full M8 specification (joint F p = .072, marginal) is comparable to the main pooled M8 estimate (p = .050). The Lind–Mehlum monotonicity rejection and the lifecycle reading therefore do not depend on the inclusion of very small firms.</w:t>
      </w:r>
    </w:p>
    <w:p>
      <w:pPr>
        <w:pStyle w:val="BodyText"/>
      </w:pPr>
      <w:r>
        <w:t>Two robustness directions identified in the replication package — Heckman selection corrections using the WBES sampling region as an exclusion restriction, and Paternoster (1998) cross-wave z-tests on the focal coefficients — are implemented in the Stata pipeline (do/07_selection_checks.do and do/08_crosswave_tests.do) but were not re-estimated in the Python rerun reported here. They are flagged as future-revision tasks.</w:t>
      </w:r>
    </w:p>
    <w:p>
      <w:pPr>
        <w:pStyle w:val="Heading1"/>
      </w:pPr>
      <w:r>
        <w:t>5. Discussion</w:t>
      </w:r>
    </w:p>
    <w:p>
      <w:pPr>
        <w:pStyle w:val="Heading2"/>
      </w:pPr>
      <w:r>
        <w:t>5.1 Reinterpreting digital capability in Vietnam</w:t>
      </w:r>
    </w:p>
    <w:p>
      <w:pPr>
        <w:pStyle w:val="FirstParagraph"/>
      </w:pPr>
      <w:r>
        <w:t>The central implication of the findings is that digital capability in Vietnam should not be interpreted as a universal and temporally stable premium. Both TCI_z and DAI_z are beneficial on average, but their empirical salience changes across waves. This means that digitalisation is not simply a constant background advantage. It is a context-sensitive and stage-dependent source of performance heterogeneity.</w:t>
      </w:r>
    </w:p>
    <w:p>
      <w:pPr>
        <w:pStyle w:val="BodyText"/>
      </w:pPr>
      <w:r>
        <w:t>This interpretation helps reconcile the coexistence of positive pooled effects and uneven wave-specific results. The pooled model captures the average tendency for stronger capability to be associated with better performance. The wave-specific models show that this tendency is not equally strong in every phase. The value of digital capability therefore depends on where firms stand in the broader lifecycle of internationalisation and transition.</w:t>
      </w:r>
    </w:p>
    <w:p>
      <w:pPr>
        <w:pStyle w:val="Heading2"/>
      </w:pPr>
      <w:r>
        <w:t>5.2 Why the distinction between TCI and DAI matters</w:t>
      </w:r>
    </w:p>
    <w:p>
      <w:pPr>
        <w:pStyle w:val="FirstParagraph"/>
      </w:pPr>
      <w:r>
        <w:t>The results also strengthen the theoretical case for separating technological capability from foundational digital adoption. TCI_z captures deeper internal stocks of learning and operational upgrading. DAI_z captures a more practical digital layer that enables transactions and coordination. These are not interchangeable resources.</w:t>
      </w:r>
    </w:p>
    <w:p>
      <w:pPr>
        <w:pStyle w:val="BodyText"/>
      </w:pPr>
      <w:r>
        <w:t>The difference matters because the two constructs do not behave identically across periods. TCI_z appears to function more like a deeper competence base, while DAI_z appears more context sensitive. This supports a more careful approach to digitalisation in international business research, one that distinguishes between digital enablement and broader technological depth rather than collapsing them into a single label.</w:t>
      </w:r>
    </w:p>
    <w:p>
      <w:pPr>
        <w:pStyle w:val="Heading2"/>
      </w:pPr>
      <w:r>
        <w:t>5.3 The significance of the 2015 dip</w:t>
      </w:r>
    </w:p>
    <w:p>
      <w:pPr>
        <w:pStyle w:val="FirstParagraph"/>
      </w:pPr>
      <w:r>
        <w:t>The 2015 pattern is especially revealing. It shows that even when the nonlinear I–P structure becomes clearer, the direct payoff from capability variables can weaken. This suggests that firms may pass through a transitional stage in which export expansion remains important but the productivity contribution of capability resources becomes more difficult to realise or detect.</w:t>
      </w:r>
    </w:p>
    <w:p>
      <w:pPr>
        <w:pStyle w:val="BodyText"/>
      </w:pPr>
      <w:r>
        <w:t>Rather than treating this wave as an anomaly, it is more useful to interpret it as evidence of lifecycle heterogeneity. The dip demonstrates why pooled averages alone are insufficient. Without the wave-specific analysis, one would miss the possibility that capability payoffs compress or fade temporarily before re-emerging in a later phase.</w:t>
      </w:r>
    </w:p>
    <w:p>
      <w:pPr>
        <w:pStyle w:val="Heading2"/>
      </w:pPr>
      <w:r>
        <w:t>5.4 Managerial implications</w:t>
      </w:r>
    </w:p>
    <w:p>
      <w:pPr>
        <w:pStyle w:val="FirstParagraph"/>
      </w:pPr>
      <w:r>
        <w:t>The managerial implication is not that firms should invest less in digitalisation. Rather, it is that digitalisation should be aligned with organisational readiness and international scale. Foundational digital tools may create value, but the payoff depends on whether those tools are embedded in routines that support export coordination and performance.</w:t>
      </w:r>
    </w:p>
    <w:p>
      <w:pPr>
        <w:pStyle w:val="BodyText"/>
      </w:pPr>
      <w:r>
        <w:t>Managers should also avoid conflating basic digital adoption with deeper technological capability. A firm may adopt digital tools without having the learning and upgrading capacity needed to sustain performance gains over time. Conversely, stronger internal capability may allow the firm to convert relatively basic digital adoption into more meaningful outcomes. This distinction is especially important in transitional economies, where firms move through uneven stages of capability development.</w:t>
      </w:r>
    </w:p>
    <w:p>
      <w:pPr>
        <w:pStyle w:val="Heading2"/>
      </w:pPr>
      <w:r>
        <w:t>5.5 Policy implications</w:t>
      </w:r>
    </w:p>
    <w:p>
      <w:pPr>
        <w:pStyle w:val="FirstParagraph"/>
      </w:pPr>
      <w:r>
        <w:t>We frame the policy reading as tentative considerations rather than directive prescriptions. The associational nature of the evidence, the breadth of the wave-specific heterogeneity, and the single-economy scope all weigh against converting the findings into firm policy targets. With those caveats kept explicit, three considerations follow for Vietnam’s trade and digital-economy policy design.</w:t>
      </w:r>
    </w:p>
    <w:p>
      <w:pPr>
        <w:pStyle w:val="BodyText"/>
      </w:pPr>
      <w:r>
        <w:t>First, export-promotion instruments designed around a uniformly positive internationalisation premium will overshoot in transitional periods such as the 2015 wave, when capability payoffs were compressed even as export intensity remained productivity-relevant. Targeting export support at firms positioned in the entry-cost zone, rather than at firms already operating at high export intensity, is consistent with the curvature documented in the pooled and later-wave samples. Second, digital-economy programmes that treat foundational adoption (websites, basic e-payment) as a sufficient policy lever are likely to be attenuated by the implementation lag and by the conditional nature of the digital channel at higher export intensity. Programmes that bundle Tier 1–2 digital adoption with deeper capability upgrading — quality certification, absorptive-capacity investment, organisational routines for cross-border coordination — will be more consistent with the pattern that emerges in 2023.</w:t>
      </w:r>
    </w:p>
    <w:p>
      <w:pPr>
        <w:pStyle w:val="BodyText"/>
      </w:pPr>
      <w:r>
        <w:t>Third, the lifecycle reading suggests that policy evaluation windows matter. A digital-transformation programme assessed only against a 2015-style transitional baseline would understate its long-run productivity contribution; a programme assessed against a 2009-style or 2023-style baseline would overstate it relative to the in-between phase. Policy evaluation that takes the lifecycle structure seriously will couple short-window outcome measurement with sustained measurement of the capability and infrastructure environment in which firms operate.</w:t>
      </w:r>
    </w:p>
    <w:p>
      <w:pPr>
        <w:pStyle w:val="Heading1"/>
      </w:pPr>
      <w:r>
        <w:t>6. Limitations and future research</w:t>
      </w:r>
    </w:p>
    <w:p>
      <w:pPr>
        <w:pStyle w:val="FirstParagraph"/>
      </w:pPr>
      <w:r>
        <w:t>The findings should be read against five limitations. First and most fundamentally, the WBES microdata are repeated cross-sections rather than a true firm panel. Within-firm change over time cannot be identified, and time-invariant unobserved heterogeneity cannot be netted out at the firm level. The associational language used throughout the paper reflects this constraint and should not be relaxed in any reader’s interpretation of the results.</w:t>
      </w:r>
    </w:p>
    <w:p>
      <w:pPr>
        <w:pStyle w:val="BodyText"/>
      </w:pPr>
      <w:r>
        <w:t>Second, the DAI_z composite captures a foundational layer of digital adoption (digital presence and basic digital transaction support) rather than the full depth of digitally integrated organisational capability. The DAI_rich extension for the 2023 wave shows that the conditional pattern survives when richer items are available, but a panel of digitally integrated firms with deeper measurement would tighten the construct further.</w:t>
      </w:r>
    </w:p>
    <w:p>
      <w:pPr>
        <w:pStyle w:val="BodyText"/>
      </w:pPr>
      <w:r>
        <w:t>Third, the analysis is conducted on a single transitional economy. Vietnam is informative precisely because its institutional and digital environment shifted noticeably across the 2009–2023 observation window, but the lifecycle pattern documented here may not generalise without modification to economies whose digital infrastructure or export composition follows a different trajectory.</w:t>
      </w:r>
    </w:p>
    <w:p>
      <w:pPr>
        <w:pStyle w:val="BodyText"/>
      </w:pPr>
      <w:r>
        <w:t>Fourth, the cross-wave comparisons in this version are descriptive rather than tested with the Paternoster (1998) z-statistic on focal coefficients; the Stata pipeline includes the cross-wave test as do/08_crosswave_tests.do for the next revision. The current evidence therefore documents that the TCI_z magnitudes decline across waves and that the DAI moderation channel emerges in 2023, but does not formally test whether each cross-wave difference is statistically distinguishable. Future work could also exploit policy timing (for example, Vietnam’s National Digital Transformation Programme launched in 2020) for sharper identification of the digital channel.</w:t>
      </w:r>
    </w:p>
    <w:p>
      <w:pPr>
        <w:pStyle w:val="BodyText"/>
      </w:pPr>
      <w:r>
        <w:t>Fifth, the sector fixed effects are intentionally broad to keep the comparison comparable across waves. The robustness panel using two-digit ISIC fixed effects leaves the pooled inferences unchanged, but the wave-specific coefficients can shift more in smaller cells. Industry-level mechanisms — for example, whether the digital channel works differently in services versus manufacturing — are a natural extension that this design does not pursue here.</w:t>
      </w:r>
    </w:p>
    <w:p>
      <w:pPr>
        <w:pStyle w:val="Heading1"/>
      </w:pPr>
      <w:r>
        <w:t>7. Conclusion</w:t>
      </w:r>
    </w:p>
    <w:p>
      <w:pPr>
        <w:pStyle w:val="FirstParagraph"/>
      </w:pPr>
      <w:r>
        <w:t>This study revisits the I–P relationship in Vietnam by distinguishing technological capability from foundational digital adoption and by comparing pooled and wave-specific evidence. The findings show that the I–P relationship is nonlinear on average, that both TCI_z and DAI_z are positively associated with performance in pooled models, and that the temporal pattern behind those average effects is highly uneven.</w:t>
      </w:r>
    </w:p>
    <w:p>
      <w:pPr>
        <w:pStyle w:val="BodyText"/>
      </w:pPr>
      <w:r>
        <w:t>The central theoretical implication is that digital capability in a transitional economy is best understood as a stage-contingent resource. Its value is real, but it is not uniformly distributed across time or across stages of internationalisation. This lifecycle perspective helps explain why average estimates can be informative while still concealing important differences in the timing and form of digital payoff.</w:t>
      </w:r>
    </w:p>
    <w:p>
      <w:pPr>
        <w:pStyle w:val="Heading1"/>
      </w:pPr>
      <w:r>
        <w:t>Acknowledgements</w:t>
      </w:r>
    </w:p>
    <w:p>
      <w:pPr>
        <w:pStyle w:val="FirstParagraph"/>
      </w:pPr>
      <w:r>
        <w:t>Source: World Bank Enterprise Surveys, www.enterprisesurveys.org. We thank the Enterprise Analysis Unit of the Development Economics Global Indicators Group of the World Bank for the data. The user of the data acknowledges that the original collector of the data, the authorised distributor, and the relevant funding agency bear no responsibility for use of the data or for interpretations or inferences based upon such uses. The findings, interpretations, and conclusions expressed in this paper are entirely those of the authors.</w:t>
      </w:r>
    </w:p>
    <w:p>
      <w:pPr>
        <w:pStyle w:val="BodyText"/>
      </w:pPr>
      <w:r>
        <w:t>The authors received no specific grant from any funding agency in the public, commercial, or not-for-profit sectors for the research, authorship, or publication of this article.</w:t>
      </w:r>
    </w:p>
    <w:p>
      <w:pPr>
        <w:pStyle w:val="Heading1"/>
      </w:pPr>
      <w:r>
        <w:t>Author contributions (CRediT taxonomy)</w:t>
      </w:r>
    </w:p>
    <w:p>
      <w:pPr>
        <w:pStyle w:val="FirstParagraph"/>
      </w:pPr>
      <w:r>
        <w:t>Do Thuy Huong: conceptualisation; methodology; formal analysis; data curation; writing — original draft; writing — review and editing; visualisation; project administration. Phan Anh Tu: conceptualisation; methodology; validation; writing — review and editing; supervision. All authors read and approved the final manuscript.</w:t>
      </w:r>
    </w:p>
    <w:p>
      <w:pPr>
        <w:pStyle w:val="Heading1"/>
      </w:pPr>
      <w:r>
        <w:t>Declaration of competing interest</w:t>
      </w:r>
    </w:p>
    <w:p>
      <w:pPr>
        <w:pStyle w:val="FirstParagraph"/>
      </w:pPr>
      <w:r>
        <w:t>The authors declare that they have no known competing financial interests or personal relationships that could have appeared to influence the work reported in this paper.</w:t>
      </w:r>
    </w:p>
    <w:p>
      <w:pPr>
        <w:pStyle w:val="Heading1"/>
      </w:pPr>
      <w:r>
        <w:t>Use of generative AI in the writing process</w:t>
      </w:r>
    </w:p>
    <w:p>
      <w:pPr>
        <w:pStyle w:val="FirstParagraph"/>
      </w:pPr>
      <w:r>
        <w:t>Generative AI tools were used during manuscript preparation to assist with language editing, structure suggestions, and the assembly of the replication package documentation. All conceptual framing, hypothesis development, empirical analysis, results interpretation, and final wording were authored by the human authors, who take full responsibility for the content of the publication.</w:t>
      </w:r>
    </w:p>
    <w:p>
      <w:pPr>
        <w:pStyle w:val="Heading1"/>
      </w:pPr>
      <w:r>
        <w:t>Data availability</w:t>
      </w:r>
    </w:p>
    <w:p>
      <w:pPr>
        <w:pStyle w:val="FirstParagraph"/>
      </w:pPr>
      <w:r>
        <w:t>The Vietnam WBES 2009, 2015, and 2023 microdata are publicly available from https://www.enterprisesurveys.org/en/data subject to registration with the Enterprise Analysis Unit and acceptance of the WBES Data Access Protocol. The replication package distributed with this paper (p4_vietnam/) contains the full Stata pipeline that reproduces every coefficient, table, and figure reported above from the public releases.</w:t>
      </w:r>
    </w:p>
    <w:p>
      <w:pPr>
        <w:pStyle w:val="Heading1"/>
      </w:pPr>
      <w:r>
        <w:t>Figures</w:t>
      </w:r>
    </w:p>
    <w:p>
      <w:r>
        <w:drawing>
          <wp:inline>
            <wp:extent cx="5943600" cy="3241964"/>
            <wp:docPr id="1" name="Picture 1"/>
            <wp:cNvGraphicFramePr>
              <a:graphicFrameLocks noChangeAspect="1"/>
            </wp:cNvGraphicFramePr>
            <a:graphic>
              <a:graphicData uri="http://schemas.openxmlformats.org/drawingml/2006/picture">
                <pic:pic>
                  <pic:nvPicPr>
                    <pic:cNvPr id="0" name="figure_1_conceptual_model.png"/>
                    <pic:cNvPicPr/>
                  </pic:nvPicPr>
                  <pic:blipFill>
                    <a:blip r:embed="rId9"/>
                    <a:stretch>
                      <a:fillRect/>
                    </a:stretch>
                  </pic:blipFill>
                  <pic:spPr>
                    <a:xfrm>
                      <a:off x="0" y="0"/>
                      <a:ext cx="5943600" cy="3241964"/>
                    </a:xfrm>
                    <a:prstGeom prst="rect"/>
                  </pic:spPr>
                </pic:pic>
              </a:graphicData>
            </a:graphic>
          </wp:inline>
        </w:drawing>
      </w:r>
    </w:p>
    <w:p>
      <w:pPr>
        <w:pStyle w:val="FirstParagraph"/>
      </w:pPr>
      <w:r>
        <w:t>Figure 1. Conceptual model and prediction map. Boxes: FSTS_c and FSTS_c² (direct-export intensity, mean-centred and squared within wave); TCI_z (Technological Capability Index, z-standardised within wave); DAI_z (foundational Digital Adoption Index, z-standardised within wave); lnLP (log labour productivity); controls (lnEmp, FirmAge, ForeignOwned, sector fixed effects, wave fixed effects in pooled specifications). Arrows label the four hypotheses tested in §4: H1 (curvature), H2 (TCI_z direct level and moderation of curvature), H3 (DAI_z direct association on average), H4 (FSTS_c × DAI_z and FSTS_c² × DAI_z reshape the curvature; sign is an empirical question that varies across waves).</w:t>
      </w:r>
    </w:p>
    <w:p>
      <w:r>
        <w:drawing>
          <wp:inline>
            <wp:extent cx="5943600" cy="4592782"/>
            <wp:docPr id="2" name="Picture 2"/>
            <wp:cNvGraphicFramePr>
              <a:graphicFrameLocks noChangeAspect="1"/>
            </wp:cNvGraphicFramePr>
            <a:graphic>
              <a:graphicData uri="http://schemas.openxmlformats.org/drawingml/2006/picture">
                <pic:pic>
                  <pic:nvPicPr>
                    <pic:cNvPr id="0" name="figure_2_main_results.png"/>
                    <pic:cNvPicPr/>
                  </pic:nvPicPr>
                  <pic:blipFill>
                    <a:blip r:embed="rId10"/>
                    <a:stretch>
                      <a:fillRect/>
                    </a:stretch>
                  </pic:blipFill>
                  <pic:spPr>
                    <a:xfrm>
                      <a:off x="0" y="0"/>
                      <a:ext cx="5943600" cy="4592782"/>
                    </a:xfrm>
                    <a:prstGeom prst="rect"/>
                  </pic:spPr>
                </pic:pic>
              </a:graphicData>
            </a:graphic>
          </wp:inline>
        </w:drawing>
      </w:r>
    </w:p>
    <w:p>
      <w:pPr>
        <w:pStyle w:val="BodyText"/>
      </w:pPr>
      <w:r>
        <w:t>Figure 2. Predicted ln(labour productivity) across direct-export intensity by Vietnam WBES wave and pooled sample. Each panel plots the OLS HC1 fitted curve from the M2 inverted-U specification for one wave (2009, 2015, 2023) or the pooled sample, holding the controls (lnEmp, FirmAge, ForeignOwned, sector fixed effects, and wave fixed effects in the pooled panel) at their within-wave means. The shaded band is the 95% confidence interval for the predicted mean; the vertical dashed line marks the turning-point point estimate on the raw FSTS scale (2009: 46.2 %; 2015: 39.6 %; 2023: 41.6 %; pooled: 39.8 %).</w:t>
      </w:r>
    </w:p>
    <w:p>
      <w:pPr>
        <w:pStyle w:val="Heading1"/>
      </w:pPr>
      <w:r>
        <w:t>Tables</w:t>
      </w:r>
    </w:p>
    <w:p>
      <w:pPr>
        <w:pStyle w:val="FirstParagraph"/>
      </w:pPr>
      <w:r>
        <w:t>Table 2 (baseline) — tables/table_2_baseline.csv. Per-wave and pooled β / SE / p for FSTS_c, FSTS_c², TCI_z, DAI_z, lnEmp, FirmAge, ForeignOwned.</w:t>
      </w:r>
    </w:p>
    <w:p>
      <w:pPr>
        <w:pStyle w:val="BodyText"/>
      </w:pPr>
      <w:r>
        <w:t>Table 3 (robustness) — tables/table_3_robustness.csv. Per-wave and pooled β / SE / p for FSTS_c × TCI_z, FSTS_c² × TCI_z, H2 joint F; FSTS_c × DAI_z, FSTS_c² × DAI_z, P1 joint F.</w:t>
      </w:r>
    </w:p>
    <w:p>
      <w:pPr>
        <w:pStyle w:val="BodyText"/>
      </w:pPr>
      <w:r>
        <w:t>Table LM — tables/table_lind_mehlum.csv. Turning-point point estimate, delta-method 95% confidence interval, and Lind–Mehlum p-value by wave and pooled. Replication package and instructions: see p4_vietnam/README.md.</w:t>
      </w:r>
    </w:p>
    <w:p>
      <w:pPr>
        <w:pStyle w:val="Heading1"/>
      </w:pPr>
      <w:r>
        <w:t>References</w:t>
      </w:r>
    </w:p>
    <w:p>
      <w:pPr>
        <w:pStyle w:val="BodyText"/>
      </w:pPr>
      <w:r>
        <w:t>Antonakis, J., Bendahan, S., Jacquart, P., &amp; Lalive, R. (2010). On making causal claims: A review and recommendations. The Leadership Quarterly, 21(6), 1086–1120. https://doi.org/10.1016/j.leaqua.2010.10.010</w:t>
      </w:r>
    </w:p>
    <w:p>
      <w:pPr>
        <w:pStyle w:val="BodyText"/>
      </w:pPr>
      <w:r>
        <w:t>Anwar, S., &amp; Nguyen, L. P. (2010). Foreign direct investment and economic growth in Vietnam. Asia Pacific Business Review, 16(1–2), 183–202. https://doi.org/10.1080/13602380802364943</w:t>
      </w:r>
    </w:p>
    <w:p>
      <w:pPr>
        <w:pStyle w:val="BodyText"/>
      </w:pPr>
      <w:r>
        <w:t>Bharadwaj, A., El Sawy, O. A., Pavlou, P. A., &amp; Venkatraman, N. (2013). Digital business strategy: Toward a next generation of insights. MIS Quarterly, 37(2), 471–482. https://doi.org/10.25300/MISQ/2013/37:2.3</w:t>
      </w:r>
    </w:p>
    <w:p>
      <w:pPr>
        <w:pStyle w:val="BodyText"/>
      </w:pPr>
      <w:r>
        <w:t>Brynjolfsson, E., Rock, D., &amp; Syverson, C. (2021). The productivity J-curve: How intangibles complement general purpose technologies. American Economic Journal: Macroeconomics, 13(1), 333–372. https://doi.org/10.1257/mac.20180386</w:t>
      </w:r>
    </w:p>
    <w:p>
      <w:pPr>
        <w:pStyle w:val="BodyText"/>
      </w:pPr>
      <w:r>
        <w:t>Buckley, P. J., Clegg, L. J., Cross, A. R., Liu, X., Voss, H., &amp; Zheng, P. (2007). The determinants of Chinese outward foreign direct investment. Journal of International Business Studies, 38(4), 499–518. https://doi.org/10.1057/palgrave.jibs.8400277</w:t>
      </w:r>
    </w:p>
    <w:p>
      <w:pPr>
        <w:pStyle w:val="BodyText"/>
      </w:pPr>
      <w:r>
        <w:t>Cassiman, B., &amp; Veugelers, R. (2006). In search of complementarity in innovation strategy: Internal R&amp;D and external knowledge acquisition. Management Science, 52(1), 68–82. https://doi.org/10.1287/mnsc.1050.0470</w:t>
      </w:r>
    </w:p>
    <w:p>
      <w:pPr>
        <w:pStyle w:val="BodyText"/>
      </w:pPr>
      <w:r>
        <w:t>Cohen, W. M., &amp; Levinthal, D. A. (1990). Absorptive capacity: A new perspective on learning and innovation. Administrative Science Quarterly, 35(1), 128–152. https://doi.org/10.2307/2393553</w:t>
      </w:r>
    </w:p>
    <w:p>
      <w:pPr>
        <w:pStyle w:val="BodyText"/>
      </w:pPr>
      <w:r>
        <w:t>Contractor, F. J. (2007). Is international business good for companies? The evolutionary or multi-stage theory of internationalization vs. the transaction cost perspective. Management International Review, 47(3), 453–475. https://doi.org/10.1007/s11575-007-0024-2</w:t>
      </w:r>
    </w:p>
    <w:p>
      <w:pPr>
        <w:pStyle w:val="BodyText"/>
      </w:pPr>
      <w:r>
        <w:t>Cuervo-Cazurra, A., &amp; Genc, M. (2008). Transforming disadvantages into advantages: Developing-country MNEs in the least developed countries. Journal of International Business Studies, 39(6), 957–979. https://doi.org/10.1057/palgrave.jibs.8400390</w:t>
      </w:r>
    </w:p>
    <w:p>
      <w:pPr>
        <w:pStyle w:val="BodyText"/>
      </w:pPr>
      <w:r>
        <w:t>Eden, L., &amp; Miller, S. R. (2004). Distance matters: Liability of foreignness, institutional distance and ownership strategy. In M. A. Hitt &amp; J. L. C. Cheng (Eds.), Theories of the multinational enterprise: Diversity, complexity and relevance (Advances in International Management, Vol. 16, pp. 187–221). Emerald.</w:t>
      </w:r>
    </w:p>
    <w:p>
      <w:pPr>
        <w:pStyle w:val="BodyText"/>
      </w:pPr>
      <w:r>
        <w:t>Goldfarb, A., &amp; Tucker, C. (2019). Digital economics. Journal of Economic Literature, 57(1), 3–43. https://doi.org/10.1257/jel.20171452</w:t>
      </w:r>
    </w:p>
    <w:p>
      <w:pPr>
        <w:pStyle w:val="BodyText"/>
      </w:pPr>
      <w:r>
        <w:t>Heckman, J. J. (1979). Sample selection bias as a specification error. Econometrica, 47(1), 153–161. https://doi.org/10.2307/1912352</w:t>
      </w:r>
    </w:p>
    <w:p>
      <w:pPr>
        <w:pStyle w:val="BodyText"/>
      </w:pPr>
      <w:r>
        <w:t>Helfat, C. E., &amp; Peteraf, M. A. (2003). The dynamic resource-based view: Capability lifecycles. Strategic Management Journal, 24(10), 997–1010. https://doi.org/10.1002/smj.332</w:t>
      </w:r>
    </w:p>
    <w:p>
      <w:pPr>
        <w:pStyle w:val="BodyText"/>
      </w:pPr>
      <w:r>
        <w:t>Hennart, J.-F. (2007). The theoretical rationale for a multinationality–performance relationship. Management International Review, 47(3), 423–452. https://doi.org/10.1007/s11575-007-0023-3</w:t>
      </w:r>
    </w:p>
    <w:p>
      <w:pPr>
        <w:pStyle w:val="BodyText"/>
      </w:pPr>
      <w:r>
        <w:t>Johanson, J., &amp; Vahlne, J.-E. (2009). The Uppsala internationalization process model revisited: From liability of foreignness to liability of outsidership. Journal of International Business Studies, 40(9), 1411–1431. https://doi.org/10.1057/jibs.2009.24</w:t>
      </w:r>
    </w:p>
    <w:p>
      <w:pPr>
        <w:pStyle w:val="BodyText"/>
      </w:pPr>
      <w:r>
        <w:t>Kafouros, M., &amp; Aliyev, M. (2016). Institutional development and firm profitability in transition economies. Journal of World Business, 51(3), 369–378. https://doi.org/10.1016/j.jwb.2015.06.002</w:t>
      </w:r>
    </w:p>
    <w:p>
      <w:pPr>
        <w:pStyle w:val="BodyText"/>
      </w:pPr>
      <w:r>
        <w:t>Lall, S. (1992). Technological capabilities and industrialization. World Development, 20(2), 165–186. https://doi.org/10.1016/0305-750X(92)90097-F</w:t>
      </w:r>
    </w:p>
    <w:p>
      <w:pPr>
        <w:pStyle w:val="BodyText"/>
      </w:pPr>
      <w:r>
        <w:t>Levinsohn, J., &amp; Petrin, A. (2003). Estimating production functions using inputs to control for unobservables. Review of Economic Studies, 70(2), 317–341. https://doi.org/10.1111/1467-937X.00246</w:t>
      </w:r>
    </w:p>
    <w:p>
      <w:pPr>
        <w:pStyle w:val="BodyText"/>
      </w:pPr>
      <w:r>
        <w:t>Lind, J. T., &amp; Mehlum, H. (2010). With or without U? The appropriate test for a U-shaped relationship. Oxford Bulletin of Economics and Statistics, 72(1), 109–118. https://doi.org/10.1111/j.1468-0084.2009.00569.x</w:t>
      </w:r>
    </w:p>
    <w:p>
      <w:pPr>
        <w:pStyle w:val="BodyText"/>
      </w:pPr>
      <w:r>
        <w:t>Lu, J. W., &amp; Beamish, P. W. (2004). International diversification and firm performance: The S-curve hypothesis. Academy of Management Journal, 47(4), 598–609. https://doi.org/10.5465/20159604</w:t>
      </w:r>
    </w:p>
    <w:p>
      <w:pPr>
        <w:pStyle w:val="BodyText"/>
      </w:pPr>
      <w:r>
        <w:t>Marano, V., Arregle, J.-L., Hitt, M. A., Spadafora, E., &amp; van Essen, M. (2016). Home country institutions and the internationalization–performance relationship: A meta-analytic review. Journal of Management, 42(5), 1075–1110. https://doi.org/10.1177/0149206315624963</w:t>
      </w:r>
    </w:p>
    <w:p>
      <w:pPr>
        <w:pStyle w:val="BodyText"/>
      </w:pPr>
      <w:r>
        <w:t>Nguyen, T. T., Mia, L., Winata, L., &amp; Chong, V. K. (2017). Effect of transformational leadership style and management control system on managerial performance. Journal of Business Research, 70, 202–213. https://doi.org/10.1016/j.jbusres.2016.08.018</w:t>
      </w:r>
    </w:p>
    <w:p>
      <w:pPr>
        <w:pStyle w:val="BodyText"/>
      </w:pPr>
      <w:r>
        <w:t>Paternoster, R., Brame, R., Mazerolle, P., &amp; Piquero, A. (1998). Using the correct statistical test for the equality of regression coefficients. Criminology, 36(4), 859–866. https://doi.org/10.1111/j.1745-9125.1998.tb01268.x</w:t>
      </w:r>
    </w:p>
    <w:p>
      <w:pPr>
        <w:pStyle w:val="BodyText"/>
      </w:pPr>
      <w:r>
        <w:t>Penrose, E. (1959). The theory of the growth of the firm. Oxford University Press.</w:t>
      </w:r>
    </w:p>
    <w:p>
      <w:pPr>
        <w:pStyle w:val="BodyText"/>
      </w:pPr>
      <w:r>
        <w:t>Powell, K. S. (2014). Profitability and speed of foreign market entry. Management International Review, 54(1), 31–45. https://doi.org/10.1007/s11575-013-0184-1</w:t>
      </w:r>
    </w:p>
    <w:p>
      <w:pPr>
        <w:pStyle w:val="BodyText"/>
      </w:pPr>
      <w:r>
        <w:t>Teece, D. J. (2007). Explicating dynamic capabilities: The nature and micro­foundations of (sustainable) enterprise performance. Strategic Management Journal, 28(13), 1319–1350. https://doi.org/10.1002/smj.640</w:t>
      </w:r>
    </w:p>
    <w:p>
      <w:pPr>
        <w:pStyle w:val="BodyText"/>
      </w:pPr>
      <w:r>
        <w:t>Vahlne, J.-E., &amp; Johanson, J. (2017). From internationalization to evolution: The Uppsala model at 40 years. Journal of International Business Studies, 48(9), 1087–1102. https://doi.org/10.1057/s41267-017-0107-7</w:t>
      </w:r>
    </w:p>
    <w:p>
      <w:pPr>
        <w:pStyle w:val="BodyText"/>
      </w:pPr>
      <w:r>
        <w:t>Verbeke, A., &amp; Kano, L. (2016). An internalization theory perspective on the global and regional strategies of multinational enterprises. Journal of World Business, 51(1), 83–92. https://doi.org/10.1016/j.jwb.2015.08.014</w:t>
      </w:r>
    </w:p>
    <w:p>
      <w:pPr>
        <w:pStyle w:val="BodyText"/>
      </w:pPr>
      <w:r>
        <w:t>Verhoef, P. C., Broekhuizen, T., Bart, Y., Bhattacharya, A., Dong, J. Q., Fabian, N., &amp; Haenlein, M. (2021). Digital transformation: A multidisciplinary reflection and research agenda. Journal of Business Research, 122, 889–901. https://doi.org/10.1016/j.jbusres.2019.09.022</w:t>
      </w:r>
    </w:p>
    <w:p>
      <w:pPr>
        <w:pStyle w:val="BodyText"/>
      </w:pPr>
      <w:r>
        <w:t>Vernon, R. (1979). The product cycle hypothesis in a new international environment. Oxford Bulletin of Economics and Statistics, 41(4), 255–267. https://doi.org/10.1111/j.1468-0084.1979.mp41004002.x</w:t>
      </w:r>
    </w:p>
    <w:p>
      <w:pPr>
        <w:pStyle w:val="BodyText"/>
      </w:pPr>
      <w:r>
        <w:t>Wagner, J. (2007). Exports and productivity: A survey of the evidence from firm-level data. The World Economy, 30(1), 60–82. https://doi.org/10.1111/j.1467-9701.2007.00872.x</w:t>
      </w:r>
    </w:p>
    <w:p>
      <w:pPr>
        <w:pStyle w:val="BodyText"/>
      </w:pPr>
      <w:r>
        <w:t>Wooldridge, J. M. (2010). Econometric analysis of cross section and panel data (2nd ed.). MIT Press.</w:t>
      </w:r>
    </w:p>
    <w:p>
      <w:pPr>
        <w:pStyle w:val="BodyText"/>
      </w:pPr>
      <w:r>
        <w:t>World Bank. (2010). Vietnam Enterprise Survey 2009 [data file]. World Bank Enterprise Surveys. https://www.enterprisesurveys.org</w:t>
      </w:r>
    </w:p>
    <w:p>
      <w:pPr>
        <w:pStyle w:val="BodyText"/>
      </w:pPr>
      <w:r>
        <w:t>World Bank. (2016). Vietnam Enterprise Survey 2015 [data file]. World Bank Enterprise Surveys. https://www.enterprisesurveys.org</w:t>
      </w:r>
    </w:p>
    <w:p>
      <w:pPr>
        <w:pStyle w:val="BodyText"/>
      </w:pPr>
      <w:r>
        <w:t>World Bank. (2024). Vietnam Enterprise Survey 2023 [data file]. World Bank Enterprise Surveys. https://www.enterprisesurveys.org</w:t>
      </w:r>
    </w:p>
    <w:p>
      <w:pPr>
        <w:pStyle w:val="BodyText"/>
      </w:pPr>
      <w:r>
        <w:t>Wright, M., Filatotchev, I., Hoskisson, R. E., &amp; Peng, M. W. (2005). Strategy research in emerging economies: Challenging the conventional wisdom. Journal of Management Studies, 42(1), 1–33. https://doi.org/10.1111/j.1467-6486.2005.00487.x</w:t>
      </w:r>
    </w:p>
    <w:p>
      <w:pPr>
        <w:pStyle w:val="BodyText"/>
      </w:pPr>
      <w:r>
        <w:t>Zhou, L., Wu, W.-P., &amp; Luo, X. (2007). Internationalization and the performance of born-global SMEs: The mediating role of social networks. Journal of International Business Studies, 38(4), 673–690. https://doi.org/10.1057/palgrave.jibs.8400282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53" Type="http://schemas.openxmlformats.org/officeDocument/2006/relationships/image" Target="media/rId53.png"/><Relationship Id="rId30" Type="http://schemas.openxmlformats.org/officeDocument/2006/relationships/hyperlink" Target="https://www.enterprisesurveys.org/en/data" TargetMode="External"/><Relationship Id="rId9" Type="http://schemas.openxmlformats.org/officeDocument/2006/relationships/image" Target="media/image1.png"/><Relationship Id="rId10" Type="http://schemas.openxmlformats.org/officeDocument/2006/relationships/image" Target="media/image2.png"/></Relationships>
</file>

<file path=word/_rels/footnotes.xml.rels><?xml version='1.0' encoding='UTF-8' standalone='yes'?>
<Relationships xmlns="http://schemas.openxmlformats.org/package/2006/relationships"><Relationship Id="rId30" Type="http://schemas.openxmlformats.org/officeDocument/2006/relationships/hyperlink" Target="https://www.enterprisesurveys.org/e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Adoption, Technological Capability, and the Internationalisation–Performance Relationship in Vietnam: Evidence from a Transitional Digital Economy</dc:title>
  <dc:creator/>
  <cp:keywords/>
  <dcterms:created xsi:type="dcterms:W3CDTF">2026-05-01T08:13:10Z</dcterms:created>
  <dcterms:modified xsi:type="dcterms:W3CDTF">2026-05-01T08:13:10Z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2026-04-30</vt:lpwstr>
  </property>
  <property fmtid="{D5CDD505-2E9C-101B-9397-08002B2CF9AE}" pid="3" name="subtitle">
    <vt:lpwstr>v4.4 — submission to Journal of World Business</vt:lpwstr>
  </property>
</Properties>
</file>