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v5.2 — IJoEM submission draft (Phan Anh Tu corresponding; Vietnam 2009/2015/2023)</w:t>
      </w:r>
    </w:p>
    <w:p>
      <w:pPr>
        <w:pStyle w:val="Date"/>
      </w:pPr>
      <w:r>
        <w:t>2026-05-02</w:t>
      </w:r>
    </w:p>
    <w:p>
      <w:pPr>
        <w:pStyle w:val="Author"/>
      </w:pPr>
      <w:r>
        <w:t>Do Thuy Huong</w:t>
      </w:r>
    </w:p>
    <w:p>
      <w:pPr>
        <w:pStyle w:val="BodyText"/>
      </w:pPr>
      <w:r>
        <w:t>PhD Candidate, College of Economics, Can Tho University, Can Tho, Vietnam. E-mail: huongp1323001@gstudent.ctu.edu.vn. ORCID: https://orcid.org/0000-0002-7711-2487.</w:t>
      </w:r>
    </w:p>
    <w:p>
      <w:pPr>
        <w:pStyle w:val="Author"/>
      </w:pPr>
      <w:r>
        <w:t>Phan Anh Tu (corresponding author)</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(Cuervo-Cazurra and Genc, 2008; Wright et al., 2005).</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and adapt routines under changing conditions (Cohen and Levinthal, 1990; Lall, 1992; Helfat and Peteraf, 2003; Teece, 2007).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Author contributions</w:t>
      </w:r>
    </w:p>
    <w:p>
      <w:pPr>
        <w:pStyle w:val="FirstParagraph"/>
      </w:pPr>
      <w:r>
        <w:t>Do Thuy Huong contributed to conceptualisation, data curation, formal analysis, investigation, methodology, visualisation, and drafting of the manuscript. Phan Anh Tu contributed to conceptualisation, supervision, methodology, validation, review and editing, and overall guidance of the study. Both authors approved the final version of the manuscript.</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Figures</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FirstParagraph"/>
      </w:pPr>
      <w:r>
        <w:t>Figure 1. Conceptual model and prediction map. Boxes: FSTS_c and FSTS_c² (direct-export intensity, mean-centred and squared within wave); TCI_z (Technological Capability Index, z-standardised within wave); DAI_z (foundational Digital Adoption Index, z-standardised within wave); lnLP (log labour productivity); controls (lnEmp, FirmAge, ForeignOwned, sector fixed effects, wave fixed effects in pooled specifications). Arrows label the four hypotheses tested in §4: H1 (curvature), H2 (TCI_z direct level and moderation of curvature), H3 (DAI_z direct association on average), H4 (FSTS_c × DAI_z and FSTS_c² × DAI_z reshape the curvature; sign is an empirical question that varies across waves).</w:t>
      </w:r>
    </w:p>
    <w:p>
      <w:r>
        <w:drawing>
          <wp:inline>
            <wp:extent cx="5943600" cy="4592782"/>
            <wp:docPr id="2" name="Picture 2"/>
            <wp:cNvGraphicFramePr>
              <a:graphicFrameLocks noChangeAspect="1"/>
            </wp:cNvGraphicFramePr>
            <a:graphic>
              <a:graphicData uri="http://schemas.openxmlformats.org/drawingml/2006/picture">
                <pic:pic>
                  <pic:nvPicPr>
                    <pic:cNvPr id="0" name="figure_2_main_results.png"/>
                    <pic:cNvPicPr/>
                  </pic:nvPicPr>
                  <pic:blipFill>
                    <a:blip r:embed="rId10"/>
                    <a:stretch>
                      <a:fillRect/>
                    </a:stretch>
                  </pic:blipFill>
                  <pic:spPr>
                    <a:xfrm>
                      <a:off x="0" y="0"/>
                      <a:ext cx="5943600" cy="4592782"/>
                    </a:xfrm>
                    <a:prstGeom prst="rect"/>
                  </pic:spPr>
                </pic:pic>
              </a:graphicData>
            </a:graphic>
          </wp:inline>
        </w:drawing>
      </w:r>
    </w:p>
    <w:p>
      <w:pPr>
        <w:pStyle w:val="BodyText"/>
      </w:pPr>
      <w:r>
        <w:t>Figure 2. Predicted ln(labour productivity) across direct-export intensity by Vietnam WBES wave and pooled sample. Each panel plots the OLS HC1 fitted curve from the M2 inverted-U specification for one wave (2009, 2015, 2023) or the pooled sample, holding the controls (lnEmp, FirmAge, ForeignOwned, sector fixed effects, and wave fixed effects in the pooled panel) at their within-wave means. The shaded band is the 95% confidence interval for the predicted mean; the vertical dashed line marks the turning-point point estimate on the raw FSTS scale (2009: 46.2 %; 2015: 39.6 %; 2023: 41.6 %; pooled: 39.8 %).</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