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360" w:lineRule="auto"/>
        <w:jc w:val="center"/>
        <w:rPr/>
      </w:pPr>
      <w:r w:rsidDel="00000000" w:rsidR="00000000" w:rsidRPr="00000000">
        <w:rPr>
          <w:rFonts w:ascii="Times New Roman" w:cs="Times New Roman" w:eastAsia="Times New Roman" w:hAnsi="Times New Roman"/>
          <w:b w:val="1"/>
          <w:bCs w:val="1"/>
          <w:sz w:val="26"/>
          <w:szCs w:val="26"/>
          <w:rtl w:val="0"/>
        </w:rPr>
        <w:t xml:space="preserve">Technological Capability, Digital Adoption, and the Internationalization–Performance Relationship in Singapore</w:t>
      </w:r>
      <w:r w:rsidDel="00000000" w:rsidR="00000000" w:rsidRPr="00000000">
        <w:rPr>
          <w:rtl w:val="0"/>
        </w:rPr>
      </w:r>
    </w:p>
    <w:p w:rsidR="00000000" w:rsidDel="00000000" w:rsidP="00000000" w:rsidRDefault="00000000" w:rsidRPr="00000000" w14:paraId="00000002">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Abstract</w:t>
      </w:r>
      <w:r w:rsidDel="00000000" w:rsidR="00000000" w:rsidRPr="00000000">
        <w:rPr>
          <w:rtl w:val="0"/>
        </w:rPr>
      </w:r>
    </w:p>
    <w:p w:rsidR="00000000" w:rsidDel="00000000" w:rsidP="00000000" w:rsidRDefault="00000000" w:rsidRPr="00000000" w14:paraId="00000003">
      <w:pPr>
        <w:spacing w:after="0" w:line="480" w:lineRule="auto"/>
        <w:jc w:val="both"/>
        <w:rPr/>
      </w:pPr>
      <w:r w:rsidDel="00000000" w:rsidR="00000000" w:rsidRPr="00000000">
        <w:rPr>
          <w:rFonts w:ascii="Times New Roman" w:cs="Times New Roman" w:eastAsia="Times New Roman" w:hAnsi="Times New Roman"/>
          <w:sz w:val="20"/>
          <w:szCs w:val="20"/>
          <w:rtl w:val="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and operates as a level-shift effect on the productivity intercept rather than as a curvature-shaping moderator. The baseline internationalization–performance pattern is best characterized as primarily monotonic with mild quadratic curvature within the observed export-intensity range; given the thin right tail of the FSTS distribution, the inferred turning point should be read as suggestive rather than as formally identified evidence of a conventional inverted-U. DAI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r w:rsidDel="00000000" w:rsidR="00000000" w:rsidRPr="00000000">
        <w:rPr>
          <w:rtl w:val="0"/>
        </w:rPr>
      </w:r>
    </w:p>
    <w:p w:rsidR="00000000" w:rsidDel="00000000" w:rsidP="00000000" w:rsidRDefault="00000000" w:rsidRPr="00000000" w14:paraId="00000004">
      <w:pPr>
        <w:spacing w:after="120" w:line="480" w:lineRule="auto"/>
        <w:jc w:val="left"/>
        <w:rPr/>
      </w:pPr>
      <w:r w:rsidDel="00000000" w:rsidR="00000000" w:rsidRPr="00000000">
        <w:rPr>
          <w:rtl w:val="0"/>
        </w:rPr>
      </w:r>
    </w:p>
    <w:p w:rsidR="00000000" w:rsidDel="00000000" w:rsidP="00000000" w:rsidRDefault="00000000" w:rsidRPr="00000000" w14:paraId="00000005">
      <w:pPr>
        <w:spacing w:after="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Keywords: internationalization–performance; digital adoption; technological capability; boundary conditions; World Bank Enterprise Survey</w:t>
      </w:r>
      <w:r w:rsidDel="00000000" w:rsidR="00000000" w:rsidRPr="00000000">
        <w:rPr>
          <w:rtl w:val="0"/>
        </w:rPr>
      </w:r>
    </w:p>
    <w:p w:rsidR="00000000" w:rsidDel="00000000" w:rsidP="00000000" w:rsidRDefault="00000000" w:rsidRPr="00000000" w14:paraId="00000006">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7">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1.1 Background and motivation</w:t>
      </w:r>
      <w:r w:rsidDel="00000000" w:rsidR="00000000" w:rsidRPr="00000000">
        <w:rPr>
          <w:rtl w:val="0"/>
        </w:rPr>
      </w:r>
    </w:p>
    <w:p w:rsidR="00000000" w:rsidDel="00000000" w:rsidP="00000000" w:rsidRDefault="00000000" w:rsidRPr="00000000" w14:paraId="00000008">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produced a family of nonlinear specifications — including inverted-U findings (Hitt et al., 1997) and three-stage S-curve formulations (Contractor et al., 2003; Lu &amp; Beamish, 2004) — that share a common claim that the marginal productivity returns to internationalization are not constant across the FSTS distribution; subsequent meta-analytic and review work has consolidated the inverted-U as the modal pattern across this literature (Marano et al., 2016). Both strands were developed largely on samples from pre-digital or transitional-digital economies and may not capture how the I–P curvature behaves when firms operate in a digitally mature institutional environment.</w:t>
      </w:r>
      <w:r w:rsidDel="00000000" w:rsidR="00000000" w:rsidRPr="00000000">
        <w:rPr>
          <w:rtl w:val="0"/>
        </w:rPr>
      </w:r>
    </w:p>
    <w:p w:rsidR="00000000" w:rsidDel="00000000" w:rsidP="00000000" w:rsidRDefault="00000000" w:rsidRPr="00000000" w14:paraId="00000009">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performance at different stages of internationalization is, ex ante, an empirical question.</w:t>
      </w:r>
      <w:r w:rsidDel="00000000" w:rsidR="00000000" w:rsidRPr="00000000">
        <w:rPr>
          <w:rtl w:val="0"/>
        </w:rPr>
      </w:r>
    </w:p>
    <w:p w:rsidR="00000000" w:rsidDel="00000000" w:rsidP="00000000" w:rsidRDefault="00000000" w:rsidRPr="00000000" w14:paraId="0000000A">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1.2 Research gap</w:t>
      </w:r>
      <w:r w:rsidDel="00000000" w:rsidR="00000000" w:rsidRPr="00000000">
        <w:rPr>
          <w:rtl w:val="0"/>
        </w:rPr>
      </w:r>
    </w:p>
    <w:p w:rsidR="00000000" w:rsidDel="00000000" w:rsidP="00000000" w:rsidRDefault="00000000" w:rsidRPr="00000000" w14:paraId="0000000B">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work on digital internationalization has often taken the form of theoretical frameworks (Banalieva &amp; Dhanaraj, 2019; Stallkamp &amp; Schotter, 2021) or has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r w:rsidDel="00000000" w:rsidR="00000000" w:rsidRPr="00000000">
        <w:rPr>
          <w:rtl w:val="0"/>
        </w:rPr>
      </w:r>
    </w:p>
    <w:p w:rsidR="00000000" w:rsidDel="00000000" w:rsidP="00000000" w:rsidRDefault="00000000" w:rsidRPr="00000000" w14:paraId="0000000C">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1.3 Contribution</w:t>
      </w:r>
      <w:r w:rsidDel="00000000" w:rsidR="00000000" w:rsidRPr="00000000">
        <w:rPr>
          <w:rtl w:val="0"/>
        </w:rPr>
      </w:r>
    </w:p>
    <w:p w:rsidR="00000000" w:rsidDel="00000000" w:rsidP="00000000" w:rsidRDefault="00000000" w:rsidRPr="00000000" w14:paraId="0000000D">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r w:rsidDel="00000000" w:rsidR="00000000" w:rsidRPr="00000000">
        <w:rPr>
          <w:rtl w:val="0"/>
        </w:rPr>
      </w:r>
    </w:p>
    <w:p w:rsidR="00000000" w:rsidDel="00000000" w:rsidP="00000000" w:rsidRDefault="00000000" w:rsidRPr="00000000" w14:paraId="0000000E">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r w:rsidDel="00000000" w:rsidR="00000000" w:rsidRPr="00000000">
        <w:rPr>
          <w:rtl w:val="0"/>
        </w:rPr>
      </w:r>
    </w:p>
    <w:p w:rsidR="00000000" w:rsidDel="00000000" w:rsidP="00000000" w:rsidRDefault="00000000" w:rsidRPr="00000000" w14:paraId="0000000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r w:rsidDel="00000000" w:rsidR="00000000" w:rsidRPr="00000000">
        <w:rPr>
          <w:rtl w:val="0"/>
        </w:rPr>
      </w:r>
    </w:p>
    <w:p w:rsidR="00000000" w:rsidDel="00000000" w:rsidP="00000000" w:rsidRDefault="00000000" w:rsidRPr="00000000" w14:paraId="00000010">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1.4 Roadmap</w:t>
      </w:r>
      <w:r w:rsidDel="00000000" w:rsidR="00000000" w:rsidRPr="00000000">
        <w:rPr>
          <w:rtl w:val="0"/>
        </w:rPr>
      </w:r>
    </w:p>
    <w:p w:rsidR="00000000" w:rsidDel="00000000" w:rsidP="00000000" w:rsidRDefault="00000000" w:rsidRPr="00000000" w14:paraId="00000011">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r w:rsidDel="00000000" w:rsidR="00000000" w:rsidRPr="00000000">
        <w:rPr>
          <w:rtl w:val="0"/>
        </w:rPr>
      </w:r>
    </w:p>
    <w:p w:rsidR="00000000" w:rsidDel="00000000" w:rsidP="00000000" w:rsidRDefault="00000000" w:rsidRPr="00000000" w14:paraId="00000012">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2 Theory and Hypotheses</w:t>
      </w:r>
      <w:r w:rsidDel="00000000" w:rsidR="00000000" w:rsidRPr="00000000">
        <w:rPr>
          <w:rtl w:val="0"/>
        </w:rPr>
      </w:r>
    </w:p>
    <w:p w:rsidR="00000000" w:rsidDel="00000000" w:rsidP="00000000" w:rsidRDefault="00000000" w:rsidRPr="00000000" w14:paraId="00000013">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2.1 The internationalization–performance relationship</w:t>
      </w:r>
      <w:r w:rsidDel="00000000" w:rsidR="00000000" w:rsidRPr="00000000">
        <w:rPr>
          <w:rtl w:val="0"/>
        </w:rPr>
      </w:r>
    </w:p>
    <w:p w:rsidR="00000000" w:rsidDel="00000000" w:rsidP="00000000" w:rsidRDefault="00000000" w:rsidRPr="00000000" w14:paraId="00000014">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rsidDel="00000000" w:rsidR="00000000" w:rsidRPr="00000000">
        <w:rPr>
          <w:rtl w:val="0"/>
        </w:rPr>
      </w:r>
    </w:p>
    <w:p w:rsidR="00000000" w:rsidDel="00000000" w:rsidP="00000000" w:rsidRDefault="00000000" w:rsidRPr="00000000" w14:paraId="00000015">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r w:rsidDel="00000000" w:rsidR="00000000" w:rsidRPr="00000000">
        <w:rPr>
          <w:rtl w:val="0"/>
        </w:rPr>
      </w:r>
    </w:p>
    <w:p w:rsidR="00000000" w:rsidDel="00000000" w:rsidP="00000000" w:rsidRDefault="00000000" w:rsidRPr="00000000" w14:paraId="00000016">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2.2 Two distinct constructs: TCI and DAI</w:t>
      </w:r>
      <w:r w:rsidDel="00000000" w:rsidR="00000000" w:rsidRPr="00000000">
        <w:rPr>
          <w:rtl w:val="0"/>
        </w:rPr>
      </w:r>
    </w:p>
    <w:p w:rsidR="00000000" w:rsidDel="00000000" w:rsidP="00000000" w:rsidRDefault="00000000" w:rsidRPr="00000000" w14:paraId="00000017">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rsidDel="00000000" w:rsidR="00000000" w:rsidRPr="00000000">
        <w:rPr>
          <w:rtl w:val="0"/>
        </w:rPr>
      </w:r>
    </w:p>
    <w:p w:rsidR="00000000" w:rsidDel="00000000" w:rsidP="00000000" w:rsidRDefault="00000000" w:rsidRPr="00000000" w14:paraId="00000018">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rsidDel="00000000" w:rsidR="00000000" w:rsidRPr="00000000">
        <w:rPr>
          <w:rtl w:val="0"/>
        </w:rPr>
      </w:r>
    </w:p>
    <w:p w:rsidR="00000000" w:rsidDel="00000000" w:rsidP="00000000" w:rsidRDefault="00000000" w:rsidRPr="00000000" w14:paraId="00000019">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"digital capability" label would therefore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rsidDel="00000000" w:rsidR="00000000" w:rsidRPr="00000000">
        <w:rPr>
          <w:rtl w:val="0"/>
        </w:rPr>
      </w:r>
      <w:r>
        <w:rPr>
          <w:rFonts w:ascii="Times New Roman" w:hAnsi="Times New Roman"/>
          <w:sz w:val="22"/>
        </w:rPr>
        <w:t xml:space="preserve">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w:t>
      </w:r>
    </w:p>
    <w:p w:rsidR="00000000" w:rsidDel="00000000" w:rsidP="00000000" w:rsidRDefault="00000000" w:rsidRPr="00000000" w14:paraId="0000001A">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2.3 Hypothesis development</w:t>
      </w:r>
      <w:r w:rsidDel="00000000" w:rsidR="00000000" w:rsidRPr="00000000">
        <w:rPr>
          <w:rtl w:val="0"/>
        </w:rPr>
      </w:r>
    </w:p>
    <w:p w:rsidR="00000000" w:rsidDel="00000000" w:rsidP="00000000" w:rsidRDefault="00000000" w:rsidRPr="00000000" w14:paraId="0000001B">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2.3.1 TCI direct effect on productivity</w:t>
      </w:r>
      <w:r w:rsidDel="00000000" w:rsidR="00000000" w:rsidRPr="00000000">
        <w:rPr>
          <w:rtl w:val="0"/>
        </w:rPr>
      </w:r>
    </w:p>
    <w:p w:rsidR="00000000" w:rsidDel="00000000" w:rsidP="00000000" w:rsidRDefault="00000000" w:rsidRPr="00000000" w14:paraId="0000001C">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r w:rsidDel="00000000" w:rsidR="00000000" w:rsidRPr="00000000">
        <w:rPr>
          <w:rtl w:val="0"/>
        </w:rPr>
      </w:r>
    </w:p>
    <w:p w:rsidR="00000000" w:rsidDel="00000000" w:rsidP="00000000" w:rsidRDefault="00000000" w:rsidRPr="00000000" w14:paraId="0000001D">
      <w:pPr>
        <w:spacing w:after="240" w:before="240" w:line="480" w:lineRule="auto"/>
        <w:ind w:left="720" w:right="720" w:firstLine="0"/>
        <w:jc w:val="both"/>
        <w:rPr/>
      </w:pPr>
      <w:r w:rsidDel="00000000" w:rsidR="00000000" w:rsidRPr="00000000">
        <w:rPr>
          <w:rFonts w:ascii="Times New Roman" w:cs="Times New Roman" w:eastAsia="Times New Roman" w:hAnsi="Times New Roman"/>
          <w:b w:val="1"/>
          <w:bCs w:val="1"/>
          <w:sz w:val="20"/>
          <w:szCs w:val="20"/>
          <w:rtl w:val="0"/>
        </w:rPr>
        <w:t xml:space="preserve">Hypothesis 1 (H1). </w:t>
      </w:r>
      <w:r w:rsidDel="00000000" w:rsidR="00000000" w:rsidRPr="00000000">
        <w:rPr>
          <w:rFonts w:ascii="Times New Roman" w:cs="Times New Roman" w:eastAsia="Times New Roman" w:hAnsi="Times New Roman"/>
          <w:i w:val="1"/>
          <w:iCs w:val="1"/>
          <w:sz w:val="20"/>
          <w:szCs w:val="20"/>
          <w:rtl w:val="0"/>
        </w:rPr>
        <w:t xml:space="preserve">Technological capability (TCI) is positively associated with firm performance in Singapore.</w:t>
      </w:r>
      <w:r w:rsidDel="00000000" w:rsidR="00000000" w:rsidRPr="00000000">
        <w:rPr>
          <w:rtl w:val="0"/>
        </w:rPr>
      </w:r>
    </w:p>
    <w:p w:rsidR="00000000" w:rsidDel="00000000" w:rsidP="00000000" w:rsidRDefault="00000000" w:rsidRPr="00000000" w14:paraId="0000001E">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2.3.2 TCI moderation of the I–P relationship</w:t>
      </w:r>
      <w:r w:rsidDel="00000000" w:rsidR="00000000" w:rsidRPr="00000000">
        <w:rPr>
          <w:rtl w:val="0"/>
        </w:rPr>
      </w:r>
    </w:p>
    <w:p w:rsidR="00000000" w:rsidDel="00000000" w:rsidP="00000000" w:rsidRDefault="00000000" w:rsidRPr="00000000" w14:paraId="0000001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r w:rsidDel="00000000" w:rsidR="00000000" w:rsidRPr="00000000">
        <w:rPr>
          <w:rtl w:val="0"/>
        </w:rPr>
      </w:r>
    </w:p>
    <w:p w:rsidR="00000000" w:rsidDel="00000000" w:rsidP="00000000" w:rsidRDefault="00000000" w:rsidRPr="00000000" w14:paraId="00000020">
      <w:pPr>
        <w:spacing w:after="240" w:before="240" w:line="480" w:lineRule="auto"/>
        <w:ind w:left="720" w:right="720" w:firstLine="0"/>
        <w:jc w:val="both"/>
        <w:rPr/>
      </w:pPr>
      <w:r w:rsidDel="00000000" w:rsidR="00000000" w:rsidRPr="00000000">
        <w:rPr>
          <w:rFonts w:ascii="Times New Roman" w:cs="Times New Roman" w:eastAsia="Times New Roman" w:hAnsi="Times New Roman"/>
          <w:b w:val="1"/>
          <w:bCs w:val="1"/>
          <w:sz w:val="20"/>
          <w:szCs w:val="20"/>
          <w:rtl w:val="0"/>
        </w:rPr>
        <w:t xml:space="preserve">Hypothesis 2 (H2). </w:t>
      </w:r>
      <w:r w:rsidDel="00000000" w:rsidR="00000000" w:rsidRPr="00000000">
        <w:rPr>
          <w:rFonts w:ascii="Times New Roman" w:cs="Times New Roman" w:eastAsia="Times New Roman" w:hAnsi="Times New Roman"/>
          <w:i w:val="1"/>
          <w:iCs w:val="1"/>
          <w:sz w:val="20"/>
          <w:szCs w:val="20"/>
          <w:rtl w:val="0"/>
        </w:rPr>
        <w:t xml:space="preserve">The TCI–productivity association in Singapore operates predominantly as a level-shift effect on the productivity intercept rather than as a curvature-shaping moderator of the internationalization–performance relationship.</w:t>
      </w:r>
      <w:r w:rsidDel="00000000" w:rsidR="00000000" w:rsidRPr="00000000">
        <w:rPr>
          <w:rtl w:val="0"/>
        </w:rPr>
      </w:r>
    </w:p>
    <w:p w:rsidR="00000000" w:rsidDel="00000000" w:rsidP="00000000" w:rsidRDefault="00000000" w:rsidRPr="00000000" w14:paraId="00000021">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2.3.3 DAI direct effect on productivity</w:t>
      </w:r>
      <w:r w:rsidDel="00000000" w:rsidR="00000000" w:rsidRPr="00000000">
        <w:rPr>
          <w:rtl w:val="0"/>
        </w:rPr>
      </w:r>
    </w:p>
    <w:p w:rsidR="00000000" w:rsidDel="00000000" w:rsidP="00000000" w:rsidRDefault="00000000" w:rsidRPr="00000000" w14:paraId="00000022">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Digital adoption should generate productivity returns through reduced transaction costs, faster information flow, and broader market reach (Bharadwaj et al., 2013; Verhoef et al., 2021). The magnitude of these returns, however, is unlikely to be uniform across firms. Tier 1–2 digital adoption (digital presence and electronic-transaction capability) primarily enables firms to scale existing operations through digital channels rather than to create capability depth de novo (Verhoef et al., 2021). The productivity payoff of such adoption should therefore depend on the extent to which the firm operates at scales where these scale-enabling features can be exercised intensively. At the digital frontier, where cross-border digital infrastructure is mature, the average DAI–productivity association is expected to be positive but modest at the unconditional mean, with most of the productivity premium materializing in firms whose operating scale — in particular, their cross-border activity — provides sufficient throughput for digital channels to be exploited efficiently. We therefore frame H3 as a directional but conditional claim, reserving the explicit moderation prediction for H4.</w:t>
      </w:r>
      <w:r w:rsidDel="00000000" w:rsidR="00000000" w:rsidRPr="00000000">
        <w:rPr>
          <w:rtl w:val="0"/>
        </w:rPr>
      </w:r>
    </w:p>
    <w:p w:rsidR="00000000" w:rsidDel="00000000" w:rsidP="00000000" w:rsidRDefault="00000000" w:rsidRPr="00000000" w14:paraId="00000023">
      <w:pPr>
        <w:spacing w:after="240" w:before="240" w:line="480" w:lineRule="auto"/>
        <w:ind w:left="720" w:right="720" w:firstLine="0"/>
        <w:jc w:val="both"/>
        <w:rPr/>
      </w:pPr>
      <w:r w:rsidDel="00000000" w:rsidR="00000000" w:rsidRPr="00000000">
        <w:rPr>
          <w:rFonts w:ascii="Times New Roman" w:cs="Times New Roman" w:eastAsia="Times New Roman" w:hAnsi="Times New Roman"/>
          <w:b w:val="1"/>
          <w:bCs w:val="1"/>
          <w:sz w:val="20"/>
          <w:szCs w:val="20"/>
          <w:rtl w:val="0"/>
        </w:rPr>
        <w:t xml:space="preserve">Hypothesis 3 (H3). </w:t>
      </w:r>
      <w:r w:rsidDel="00000000" w:rsidR="00000000" w:rsidRPr="00000000">
        <w:rPr>
          <w:rFonts w:ascii="Times New Roman" w:cs="Times New Roman" w:eastAsia="Times New Roman" w:hAnsi="Times New Roman"/>
          <w:i w:val="1"/>
          <w:iCs w:val="1"/>
          <w:sz w:val="20"/>
          <w:szCs w:val="20"/>
          <w:rtl w:val="0"/>
        </w:rPr>
        <w:t xml:space="preserve">Digital adoption (DAI) is positively associated with firm performance in Singapore on average, with the magnitude of this association expected to vary systematically with the firm’s internationalization intensity (formally tested in H4).</w:t>
      </w:r>
      <w:r w:rsidDel="00000000" w:rsidR="00000000" w:rsidRPr="00000000">
        <w:rPr>
          <w:rtl w:val="0"/>
        </w:rPr>
      </w:r>
    </w:p>
    <w:p w:rsidR="00000000" w:rsidDel="00000000" w:rsidP="00000000" w:rsidRDefault="00000000" w:rsidRPr="00000000" w14:paraId="00000024">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2.3.4 DAI as a conditional complement to export intensity</w:t>
      </w:r>
      <w:r w:rsidDel="00000000" w:rsidR="00000000" w:rsidRPr="00000000">
        <w:rPr>
          <w:rtl w:val="0"/>
        </w:rPr>
      </w:r>
    </w:p>
    <w:p w:rsidR="00000000" w:rsidDel="00000000" w:rsidP="00000000" w:rsidRDefault="00000000" w:rsidRPr="00000000" w14:paraId="00000025">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r w:rsidDel="00000000" w:rsidR="00000000" w:rsidRPr="00000000">
        <w:rPr>
          <w:rtl w:val="0"/>
        </w:rPr>
      </w:r>
    </w:p>
    <w:p w:rsidR="00000000" w:rsidDel="00000000" w:rsidP="00000000" w:rsidRDefault="00000000" w:rsidRPr="00000000" w14:paraId="00000026">
      <w:pPr>
        <w:spacing w:after="240" w:before="240" w:line="480" w:lineRule="auto"/>
        <w:ind w:left="720" w:right="720" w:firstLine="0"/>
        <w:jc w:val="both"/>
        <w:rPr/>
      </w:pPr>
      <w:r w:rsidDel="00000000" w:rsidR="00000000" w:rsidRPr="00000000">
        <w:rPr>
          <w:rFonts w:ascii="Times New Roman" w:cs="Times New Roman" w:eastAsia="Times New Roman" w:hAnsi="Times New Roman"/>
          <w:b w:val="1"/>
          <w:bCs w:val="1"/>
          <w:sz w:val="20"/>
          <w:szCs w:val="20"/>
          <w:rtl w:val="0"/>
        </w:rPr>
        <w:t xml:space="preserve">Hypothesis 4 (H4). </w:t>
      </w:r>
      <w:r w:rsidDel="00000000" w:rsidR="00000000" w:rsidRPr="00000000">
        <w:rPr>
          <w:rFonts w:ascii="Times New Roman" w:cs="Times New Roman" w:eastAsia="Times New Roman" w:hAnsi="Times New Roman"/>
          <w:i w:val="1"/>
          <w:iCs w:val="1"/>
          <w:sz w:val="20"/>
          <w:szCs w:val="20"/>
          <w:rtl w:val="0"/>
        </w:rPr>
        <w:t xml:space="preserve">The association between digital adoption (DAI) and firm performance becomes more positive at higher levels of export intensity in Singapore.</w:t>
      </w:r>
      <w:r w:rsidDel="00000000" w:rsidR="00000000" w:rsidRPr="00000000">
        <w:rPr>
          <w:rtl w:val="0"/>
        </w:rPr>
      </w:r>
    </w:p>
    <w:p w:rsidR="00000000" w:rsidDel="00000000" w:rsidP="00000000" w:rsidRDefault="00000000" w:rsidRPr="00000000" w14:paraId="00000027">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2.4 Conceptual model</w:t>
      </w:r>
      <w:r w:rsidDel="00000000" w:rsidR="00000000" w:rsidRPr="00000000">
        <w:rPr>
          <w:rtl w:val="0"/>
        </w:rPr>
      </w:r>
    </w:p>
    <w:p w:rsidR="00000000" w:rsidDel="00000000" w:rsidP="00000000" w:rsidRDefault="00000000" w:rsidRPr="00000000" w14:paraId="00000028">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Figure 1 summarizes the conceptual model. The model represents TCI and DAI as analytically distinct firm-level constructs, each with a directional association with firm performance (H1 and H3). TCI is theorized to operate as a level-shift effect on the productivity intercept rather than as a curvature-shaping moderator (H2), whereas DAI is theorized to interact with export intensity such that its productivity association strengthens at higher levels of FSTS (H4). H3 and H4 are jointly informative: H3 specifies the average directional association, and H4 specifies the contingency that governs its magnitude. The whole model is positioned within a digital-frontier institutional environment as the relevant boundary condition.</w:t>
      </w:r>
      <w:r w:rsidDel="00000000" w:rsidR="00000000" w:rsidRPr="00000000">
        <w:rPr>
          <w:rtl w:val="0"/>
        </w:rPr>
      </w:r>
    </w:p>
    <w:p w:rsidR="00000000" w:rsidDel="00000000" w:rsidP="00000000" w:rsidRDefault="00000000" w:rsidRPr="00000000" w14:paraId="00000029">
      <w:pPr>
        <w:spacing w:after="120" w:before="240" w:lineRule="auto"/>
        <w:jc w:val="center"/>
        <w:rPr/>
      </w:pPr>
      <w:r w:rsidDel="00000000" w:rsidR="00000000" w:rsidRPr="00000000">
        <w:rPr/>
        <w:drawing>
          <wp:inline distB="0" distT="0" distL="0" distR="0">
            <wp:extent cx="5143500" cy="342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43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280" w:lineRule="auto"/>
        <w:jc w:val="center"/>
        <w:rPr/>
      </w:pPr>
      <w:r w:rsidDel="00000000" w:rsidR="00000000" w:rsidRPr="00000000">
        <w:rPr>
          <w:rFonts w:ascii="Cardo" w:cs="Cardo" w:eastAsia="Cardo" w:hAnsi="Cardo"/>
          <w:i w:val="1"/>
          <w:iCs w:val="1"/>
          <w:sz w:val="18"/>
          <w:szCs w:val="18"/>
          <w:rtl w:val="0"/>
        </w:rPr>
        <w:t xml:space="preserve">Figure 1. Conceptual model: Technological capability, digital adoption, and the internationalization–performance relationship. Solid arrows denote direct effects (H1, H3); dashed arrows denote moderation effects (H2, H4) and should be read as moderating the I–P relationship path (i.e., the FSTS→Performance link) rather than as direct antecedents of the FSTS construct itself.</w:t>
      </w:r>
      <w:r w:rsidDel="00000000" w:rsidR="00000000" w:rsidRPr="00000000">
        <w:rPr>
          <w:rtl w:val="0"/>
        </w:rPr>
      </w:r>
    </w:p>
    <w:p w:rsidR="00000000" w:rsidDel="00000000" w:rsidP="00000000" w:rsidRDefault="00000000" w:rsidRPr="00000000" w14:paraId="0000002B">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3 Methods</w:t>
      </w:r>
      <w:r w:rsidDel="00000000" w:rsidR="00000000" w:rsidRPr="00000000">
        <w:rPr>
          <w:rtl w:val="0"/>
        </w:rPr>
      </w:r>
    </w:p>
    <w:p w:rsidR="00000000" w:rsidDel="00000000" w:rsidP="00000000" w:rsidRDefault="00000000" w:rsidRPr="00000000" w14:paraId="0000002C">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3.1 Data</w:t>
      </w:r>
      <w:r w:rsidDel="00000000" w:rsidR="00000000" w:rsidRPr="00000000">
        <w:rPr>
          <w:rtl w:val="0"/>
        </w:rPr>
      </w:r>
    </w:p>
    <w:p w:rsidR="00000000" w:rsidDel="00000000" w:rsidP="00000000" w:rsidRDefault="00000000" w:rsidRPr="00000000" w14:paraId="0000002D">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r w:rsidDel="00000000" w:rsidR="00000000" w:rsidRPr="00000000">
        <w:rPr>
          <w:rtl w:val="0"/>
        </w:rPr>
      </w:r>
    </w:p>
    <w:p w:rsidR="00000000" w:rsidDel="00000000" w:rsidP="00000000" w:rsidRDefault="00000000" w:rsidRPr="00000000" w14:paraId="0000002E">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3.2 Variables</w:t>
      </w:r>
      <w:r w:rsidDel="00000000" w:rsidR="00000000" w:rsidRPr="00000000">
        <w:rPr>
          <w:rtl w:val="0"/>
        </w:rPr>
      </w:r>
    </w:p>
    <w:p w:rsidR="00000000" w:rsidDel="00000000" w:rsidP="00000000" w:rsidRDefault="00000000" w:rsidRPr="00000000" w14:paraId="0000002F">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3.2.1 Dependent variable</w:t>
      </w:r>
      <w:r w:rsidDel="00000000" w:rsidR="00000000" w:rsidRPr="00000000">
        <w:rPr>
          <w:rtl w:val="0"/>
        </w:rPr>
      </w:r>
    </w:p>
    <w:p w:rsidR="00000000" w:rsidDel="00000000" w:rsidP="00000000" w:rsidRDefault="00000000" w:rsidRPr="00000000" w14:paraId="00000030">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Consistent with the IB productivity-as-performance tradition (Avenyo et al., 2021; Krammer et al., 2018), we operationalize firm performance as labour productivity. Labour productivity is measured as ln(annual sales / full-time employees), constructed from WBES items d2 (annual sales) and l1 (full-time employees), following Krammer et al. (2018). All firms in this single cross-section share the 2023 fiscal reference year; sales figures are therefore expressed in nominal 2023 Singapore dollars, with the intercept absorbing any uniform price-level scaling. The variable is winsorized at the 1st and 99th percentiles to reduce sensitivity to extreme values.</w:t>
      </w:r>
      <w:r w:rsidDel="00000000" w:rsidR="00000000" w:rsidRPr="00000000">
        <w:rPr>
          <w:rtl w:val="0"/>
        </w:rPr>
      </w:r>
    </w:p>
    <w:p w:rsidR="00000000" w:rsidDel="00000000" w:rsidP="00000000" w:rsidRDefault="00000000" w:rsidRPr="00000000" w14:paraId="00000031">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3.2.2 Focal independent variable</w:t>
      </w:r>
      <w:r w:rsidDel="00000000" w:rsidR="00000000" w:rsidRPr="00000000">
        <w:rPr>
          <w:rtl w:val="0"/>
        </w:rPr>
      </w:r>
    </w:p>
    <w:p w:rsidR="00000000" w:rsidDel="00000000" w:rsidP="00000000" w:rsidRDefault="00000000" w:rsidRPr="00000000" w14:paraId="00000032">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r w:rsidDel="00000000" w:rsidR="00000000" w:rsidRPr="00000000">
        <w:rPr>
          <w:rtl w:val="0"/>
        </w:rPr>
      </w:r>
    </w:p>
    <w:p w:rsidR="00000000" w:rsidDel="00000000" w:rsidP="00000000" w:rsidRDefault="00000000" w:rsidRPr="00000000" w14:paraId="00000033">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3.2.3 TCI and DAI composites</w:t>
      </w:r>
      <w:r w:rsidDel="00000000" w:rsidR="00000000" w:rsidRPr="00000000">
        <w:rPr>
          <w:rtl w:val="0"/>
        </w:rPr>
      </w:r>
    </w:p>
    <w:p w:rsidR="00000000" w:rsidDel="00000000" w:rsidP="00000000" w:rsidRDefault="00000000" w:rsidRPr="00000000" w14:paraId="00000034">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r w:rsidDel="00000000" w:rsidR="00000000" w:rsidRPr="00000000">
        <w:rPr>
          <w:rtl w:val="0"/>
        </w:rPr>
      </w:r>
      <w:r>
        <w:rPr>
          <w:rFonts w:ascii="Times New Roman" w:hAnsi="Times New Roman"/>
          <w:sz w:val="22"/>
        </w:rPr>
        <w:t xml:space="preserve"> Consistent with the Verhoef et al. (2021) hierarchy, these indicators capture Tier 1-2 digitalization only: website presence reflects basic digital presence, while customer- and supplier-side electronic payments reflect transactional digital use. They do not capture deeper digitally integrated organizational systems such as ERP, CRM, digitally integrated supply-chain management, or higher-order digital dynamic capabilities.</w:t>
      </w:r>
    </w:p>
    <w:p w:rsidR="00000000" w:rsidDel="00000000" w:rsidP="00000000" w:rsidRDefault="00000000" w:rsidRPr="00000000" w14:paraId="00000035">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Equal weighting is substantively appropriate in this context because the component items are conceptually co-equal manifestations of distinct sub-dimensions of each construct rather than redundant indicators of a single dominant facet (Coltman et al., 2008): for TCI, the four items capture conceptually distinct capability dimensions (external technology linkage, innovation output, absorptive-capacity-building effort, and operational mastery via certification) that the Lall (1992) tradition treats as analytically separable, while for DAI the three items capture conceptually distinct digital-interface dimensions (digital presence, customer-side digital transactions, and supplier-side digital transactions). Data-driven weighting schemes (e.g., principal-components weights) would conflate empirical variance shares with conceptual importance and risk mechanically downweighting items that are theoretically central but distributionally rare in the WBES sample. The R2 robustness specification (TCI_thin) and the R1 robustness specification (DAI_thin, single-indicator website) jointly verify that the central inferences are not driven by any single dominant component of either composite. All coefficients on TCI and DAI are interpreted per one-standard-deviation increase in the composite.</w:t>
      </w:r>
      <w:r w:rsidDel="00000000" w:rsidR="00000000" w:rsidRPr="00000000">
        <w:rPr>
          <w:rtl w:val="0"/>
        </w:rPr>
      </w:r>
      <w:r>
        <w:rPr>
          <w:rFonts w:ascii="Times New Roman" w:hAnsi="Times New Roman"/>
          <w:sz w:val="22"/>
        </w:rPr>
        <w:t xml:space="preserve"> In particular, the website-only restriction in R1 provides a deliberately thin Tier 1 version of DAI against which the richer baseline composite can be evaluated; the baseline specification is therefore preferable not because it measures digital capability in a broad sense, but because it more fully captures the Tier 1-2 digital-adoption domain observable in WBES.</w:t>
      </w:r>
    </w:p>
    <w:p w:rsidR="00000000" w:rsidDel="00000000" w:rsidP="00000000" w:rsidRDefault="00000000" w:rsidRPr="00000000" w14:paraId="00000036">
      <w:pPr>
        <w:spacing w:after="120" w:before="240" w:lineRule="auto"/>
        <w:jc w:val="left"/>
        <w:rPr/>
      </w:pPr>
      <w:r w:rsidDel="00000000" w:rsidR="00000000" w:rsidRPr="00000000">
        <w:rPr>
          <w:rFonts w:ascii="Times New Roman" w:cs="Times New Roman" w:eastAsia="Times New Roman" w:hAnsi="Times New Roman"/>
          <w:b w:val="1"/>
          <w:bCs w:val="1"/>
          <w:i w:val="1"/>
          <w:iCs w:val="1"/>
          <w:sz w:val="20"/>
          <w:szCs w:val="20"/>
          <w:rtl w:val="0"/>
        </w:rPr>
        <w:t xml:space="preserve">3.2.4 Controls</w:t>
      </w:r>
      <w:r w:rsidDel="00000000" w:rsidR="00000000" w:rsidRPr="00000000">
        <w:rPr>
          <w:rtl w:val="0"/>
        </w:rPr>
      </w:r>
    </w:p>
    <w:p w:rsidR="00000000" w:rsidDel="00000000" w:rsidP="00000000" w:rsidRDefault="00000000" w:rsidRPr="00000000" w14:paraId="00000037">
      <w:pPr>
        <w:spacing w:after="0" w:line="480" w:lineRule="auto"/>
        <w:ind w:firstLine="720"/>
        <w:jc w:val="both"/>
        <w:rPr/>
      </w:pPr>
      <w:r w:rsidDel="00000000" w:rsidR="00000000" w:rsidRPr="00000000">
        <w:rPr>
          <w:rFonts w:ascii="Gungsuh" w:cs="Gungsuh" w:eastAsia="Gungsuh" w:hAnsi="Gungsuh"/>
          <w:sz w:val="20"/>
          <w:szCs w:val="20"/>
          <w:rtl w:val="0"/>
        </w:rPr>
        <w:t xml:space="preserve">We control for firm size (ln_empl, the natural logarithm of the number of full-time employees), firm age (year of survey minus year of establishment from WBES item b5), foreign-ownership status (binary, derived from WBES item b2b indicating ≥ 10% foreign equity), and broad sector fixed effects derived from the WBES sector classification (a4a). Sector indicators distinguish manufacturing, retail, and other services and absorb sector-level heterogeneity in average labour productivity, export propensity, technology-adoption norms, and digital-infrastructure penetration that would otherwise be loaded onto the focal regressors (cf. Avenyo et al., 2021; Krammer et al., 2018). Manager experience (WBES item b6), originally considered as a control, was dropped after a variance inflation factor diagnostic revealed severe collinearity with ln_empl (VIF = 6.11 before drop, 1.13 after; conventional threshold for moderate concern is 5; O'Brien, 2007).</w:t>
      </w:r>
      <w:r w:rsidDel="00000000" w:rsidR="00000000" w:rsidRPr="00000000">
        <w:rPr>
          <w:rtl w:val="0"/>
        </w:rPr>
      </w:r>
    </w:p>
    <w:p w:rsidR="00000000" w:rsidDel="00000000" w:rsidP="00000000" w:rsidRDefault="00000000" w:rsidRPr="00000000" w14:paraId="00000038">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3.3 Estimation strategy and identification scope</w:t>
      </w:r>
      <w:r w:rsidDel="00000000" w:rsidR="00000000" w:rsidRPr="00000000">
        <w:rPr>
          <w:rtl w:val="0"/>
        </w:rPr>
      </w:r>
    </w:p>
    <w:p w:rsidR="00000000" w:rsidDel="00000000" w:rsidP="00000000" w:rsidRDefault="00000000" w:rsidRPr="00000000" w14:paraId="00000039">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We estimate ordinary-least-squares regressions with Sector FE = broad WBES sector dummies (manufacturing, retail, other services). HC1 robust standard errors throughout (MacKinnon &amp; White, 1985). Models are nested progressively from a controls-only specification (M0) through an inverted-U baseline (M2), TCI direct effect (M5), DAI direct effect (M6), TCI + DAI joint direct effects (M7), DAI moderation (M4), and the full specification (M8). The equation below corresponds to the full model (M8); a supplementary TCI-moderation specification (M3), discussed in Section 4.3 but omitted from Table 2 for parsimony, replaces the DAI interaction block in this equation with the analogous TCI interaction terms (FSTS × TCI, FSTS² × TCI):</w:t>
      </w:r>
      <w:r w:rsidDel="00000000" w:rsidR="00000000" w:rsidRPr="00000000">
        <w:rPr>
          <w:rtl w:val="0"/>
        </w:rPr>
      </w:r>
    </w:p>
    <w:p w:rsidR="00000000" w:rsidDel="00000000" w:rsidP="00000000" w:rsidRDefault="00000000" w:rsidRPr="00000000" w14:paraId="0000003A">
      <w:pPr>
        <w:spacing w:after="120" w:line="480" w:lineRule="auto"/>
        <w:jc w:val="left"/>
        <w:rPr/>
      </w:pPr>
      <w:r w:rsidDel="00000000" w:rsidR="00000000" w:rsidRPr="00000000">
        <w:rPr>
          <w:rFonts w:ascii="Times New Roman" w:cs="Times New Roman" w:eastAsia="Times New Roman" w:hAnsi="Times New Roman"/>
          <w:i w:val="1"/>
          <w:iCs w:val="1"/>
          <w:sz w:val="20"/>
          <w:szCs w:val="20"/>
          <w:rtl w:val="0"/>
        </w:rPr>
        <w:t xml:space="preserve">ln(LP) = α + β₁·FSTS_c + β₂·FSTS_c² + β₃·TCI + β₄·DAI + β₅·(FSTS_c × DAI) + β₆·(FSTS_c² × DAI) + γ·controls + ε,</w:t>
      </w:r>
      <w:r w:rsidDel="00000000" w:rsidR="00000000" w:rsidRPr="00000000">
        <w:rPr>
          <w:rtl w:val="0"/>
        </w:rPr>
      </w:r>
    </w:p>
    <w:p w:rsidR="00000000" w:rsidDel="00000000" w:rsidP="00000000" w:rsidRDefault="00000000" w:rsidRPr="00000000" w14:paraId="0000003B">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r w:rsidDel="00000000" w:rsidR="00000000" w:rsidRPr="00000000">
        <w:rPr>
          <w:rtl w:val="0"/>
        </w:rPr>
      </w:r>
    </w:p>
    <w:p w:rsidR="00000000" w:rsidDel="00000000" w:rsidP="00000000" w:rsidRDefault="00000000" w:rsidRPr="00000000" w14:paraId="0000003C">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Our identification scope is explicitly associational rather than causal, and we adopt the disciplined causal-language conventions advocated for international business and strategy research throughout the manuscript (Antonakis et al., 2010; Meyer et al., 2017; Shaver, 2020). The cross-sectional WBES Singapore 2023 design cannot rule out reverse causation or omitted-variable bias, and standard ex post diagnostics — including non-significant inverse Mills’ ratios from selection-correction models — do not constitute affirmative evidence of unbiasedness in the absence of a valid exclusion restriction (Wolfolds &amp; Siegel, 2019). Two selection mechanisms are particularly salient in our setting. First, productivity-driven self-selection into digital adoption: more productive firms possess the financial slack and absorptive capacity (Cohen &amp; Levinthal, 1990) to install electronic-payment systems and digital interfaces, so the observed DAI–productivity association may reflect this selection channel rather than a productivity-enhancing effect of digital adoption itself. Second, productivity-driven self-selection into export markets, whereby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We therefore use the language of “association,” “is consistent with,” and “supports” rather than causal verbs throughout, restrict our interpretive scope to firm-level patterns observed in this single cross-section, and treat the moderation evidence as identifying a boundary condition rather than as a tested causal mechanism. Section 6 specifies the panel-data and quasi-experimental designs that would be required to upgrade these associational claims to a causal identification.</w:t>
      </w:r>
      <w:r w:rsidDel="00000000" w:rsidR="00000000" w:rsidRPr="00000000">
        <w:rPr>
          <w:rtl w:val="0"/>
        </w:rPr>
      </w:r>
    </w:p>
    <w:p w:rsidR="00000000" w:rsidDel="00000000" w:rsidP="00000000" w:rsidRDefault="00000000" w:rsidRPr="00000000" w14:paraId="0000003D">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4 Results</w:t>
      </w:r>
      <w:r w:rsidDel="00000000" w:rsidR="00000000" w:rsidRPr="00000000">
        <w:rPr>
          <w:rtl w:val="0"/>
        </w:rPr>
      </w:r>
    </w:p>
    <w:p w:rsidR="00000000" w:rsidDel="00000000" w:rsidP="00000000" w:rsidRDefault="00000000" w:rsidRPr="00000000" w14:paraId="0000003E">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4.1 Descriptive statistics</w:t>
      </w:r>
      <w:r w:rsidDel="00000000" w:rsidR="00000000" w:rsidRPr="00000000">
        <w:rPr>
          <w:rtl w:val="0"/>
        </w:rPr>
      </w:r>
    </w:p>
    <w:p w:rsidR="00000000" w:rsidDel="00000000" w:rsidP="00000000" w:rsidRDefault="00000000" w:rsidRPr="00000000" w14:paraId="0000003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r w:rsidDel="00000000" w:rsidR="00000000" w:rsidRPr="00000000">
        <w:rPr>
          <w:rtl w:val="0"/>
        </w:rPr>
      </w:r>
    </w:p>
    <w:p w:rsidR="00000000" w:rsidDel="00000000" w:rsidP="00000000" w:rsidRDefault="00000000" w:rsidRPr="00000000" w14:paraId="00000040">
      <w:pPr>
        <w:spacing w:after="12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Table 1. Descriptive statistics and pairwise correlations.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850"/>
        <w:gridCol w:w="850"/>
        <w:gridCol w:w="950"/>
        <w:gridCol w:w="950"/>
        <w:gridCol w:w="1000"/>
        <w:tblGridChange w:id="0">
          <w:tblGrid>
            <w:gridCol w:w="2200"/>
            <w:gridCol w:w="1100"/>
            <w:gridCol w:w="1100"/>
            <w:gridCol w:w="850"/>
            <w:gridCol w:w="850"/>
            <w:gridCol w:w="950"/>
            <w:gridCol w:w="950"/>
            <w:gridCol w:w="1000"/>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1">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Panel A: Descriptive Statistics (N = 623)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2">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Variable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3">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4">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SD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5">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6">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Max</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7">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p25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8">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49">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p75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Ln(Labour productivity)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7.89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15.21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4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10.62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12.21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2">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0.144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0.022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5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2">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TCI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0.51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DAI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1.96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6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-0.81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0.94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2">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Firm size (ln_empl)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8.85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4.25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Firm 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14.8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98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7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2">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Foreign-owned (0/1)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0.119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0.324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8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A">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Panel B: Pairwise Correlations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B">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Variable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C">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D">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E">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8F">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0">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1">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92">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3">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1. Ln(Lab. prod.)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A">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B">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2. FSTS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9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2">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3">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3. TCI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A">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B">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4. DAI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A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2">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3">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5. Firm size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A">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B">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6. Firm 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B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2">
            <w:pPr>
              <w:spacing w:line="240" w:lineRule="auto"/>
              <w:jc w:val="center"/>
              <w:rPr/>
            </w:pP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3">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7. Foreign-owned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C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r>
    </w:tbl>
    <w:p w:rsidR="00000000" w:rsidDel="00000000" w:rsidP="00000000" w:rsidRDefault="00000000" w:rsidRPr="00000000" w14:paraId="000000CB">
      <w:pPr>
        <w:spacing w:after="60" w:line="480" w:lineRule="auto"/>
        <w:jc w:val="left"/>
        <w:rPr/>
      </w:pPr>
      <w:r w:rsidDel="00000000" w:rsidR="00000000" w:rsidRPr="00000000">
        <w:rPr>
          <w:rtl w:val="0"/>
        </w:rPr>
      </w:r>
    </w:p>
    <w:p w:rsidR="00000000" w:rsidDel="00000000" w:rsidP="00000000" w:rsidRDefault="00000000" w:rsidRPr="00000000" w14:paraId="000000CC">
      <w:pPr>
        <w:spacing w:after="24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Notes: N = 623. *** p &lt; .001, ** p &lt; .01, * p &lt; .05, † p &lt; .10. TCI and DAI are z-standardized formative composites.</w:t>
      </w:r>
      <w:r w:rsidDel="00000000" w:rsidR="00000000" w:rsidRPr="00000000">
        <w:rPr>
          <w:rtl w:val="0"/>
        </w:rPr>
      </w:r>
    </w:p>
    <w:p w:rsidR="00000000" w:rsidDel="00000000" w:rsidP="00000000" w:rsidRDefault="00000000" w:rsidRPr="00000000" w14:paraId="000000CD">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4.2 The I–P relationship: primarily monotonic with mild curvature</w:t>
      </w:r>
      <w:r w:rsidDel="00000000" w:rsidR="00000000" w:rsidRPr="00000000">
        <w:rPr>
          <w:rtl w:val="0"/>
        </w:rPr>
      </w:r>
    </w:p>
    <w:p w:rsidR="00000000" w:rsidDel="00000000" w:rsidP="00000000" w:rsidRDefault="00000000" w:rsidRPr="00000000" w14:paraId="000000CE">
      <w:pPr>
        <w:spacing w:after="0" w:line="480" w:lineRule="auto"/>
        <w:ind w:firstLine="720"/>
        <w:jc w:val="both"/>
        <w:rPr/>
      </w:pPr>
      <w:r w:rsidDel="00000000" w:rsidR="00000000" w:rsidRPr="00000000">
        <w:rPr>
          <w:rFonts w:ascii="Cardo" w:cs="Cardo" w:eastAsia="Cardo" w:hAnsi="Cardo"/>
          <w:sz w:val="20"/>
          <w:szCs w:val="20"/>
          <w:rtl w:val="0"/>
        </w:rPr>
        <w:t xml:space="preserve">In the M2 inverted-U baseline specification (Table 2), the linear FSTS term is strongly positive (β = +3.464, SE = 0.902, p &lt; .001) and the quadratic FSTS² term is marginally negative (β = −2.059, SE = 1.082, p = .057). Because FSTS is mean-centered before squaring (sample mean ≈ 0.045, i.e., 4.5%), the formula −β₁/(2β₂) returns the implied turning point measured as a deviation from the sample mean (≈ 84%); converted to the original uncentered scale, this corresponds to FSTS ≈ 88.6%. Either way, the implied turning point lies in the sparsely populated right tail of the empirical FSTS distribution (only 3% of the sample exceeds 50% FSTS, and the 99th percentile is approximately 90%). The Lind and Mehlum (2010) joint U-test fails to reject the null of monotonicity (p = .301). Because the curvature is identified primarily from a sparsely populated right tail, we treat the apparent quadratic turning point as a descriptive feature of the within-sample fit rather than as a structurally identified inflection of the I–P relationship. Following Haans et al. (2016), we therefore characterize the I–P relationship as primarily monotonic positive with mild quadratic curvature rather than as a confirmed inverted-U, and we treat the curvature evidence as suggestive rather than as structurally identified. This finding qualifies the modal inverted-U pattern documented in earlier I–P literature (Marano et al., 2016) within the specific context of a digital-frontier economy: when cross-border coordination costs have been substantially attenuated by mature digital infrastructure, any right-side decline of the I–P curve is flattened or shifted to levels of export intensity that are sparsely represented in the observed sample.</w:t>
      </w:r>
      <w:r w:rsidDel="00000000" w:rsidR="00000000" w:rsidRPr="00000000">
        <w:rPr>
          <w:rtl w:val="0"/>
        </w:rPr>
      </w:r>
    </w:p>
    <w:p w:rsidR="00000000" w:rsidDel="00000000" w:rsidP="00000000" w:rsidRDefault="00000000" w:rsidRPr="00000000" w14:paraId="000000CF">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4.3 TCI direct effect supports H1; TCI moderation null supports H2</w:t>
      </w:r>
      <w:r w:rsidDel="00000000" w:rsidR="00000000" w:rsidRPr="00000000">
        <w:rPr>
          <w:rtl w:val="0"/>
        </w:rPr>
      </w:r>
    </w:p>
    <w:p w:rsidR="00000000" w:rsidDel="00000000" w:rsidP="00000000" w:rsidRDefault="00000000" w:rsidRPr="00000000" w14:paraId="000000D0">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In Model M5 (Table 2), TCI exerts a positive and strongly significant direct effect on labour productivity (β_z = 0.202, SE = 0.042, p &lt; .001), supporting H1. R² increases from .162 in M2 to .191 in M5. In the supplementary TCI-moderation specification (M3, not tabulated in Table 2), the TCI direct effect remains significant (β_z = 0.191, p &lt; .001), and the TCI moderation terms (FSTS × TCI and FSTS² × TCI) are jointly insignificant; a joint Wald test yields F(2, 612) = 0.48, p = .621. The pattern is consistent with H2’s framing of TCI as a predominantly level-shift effect: the TCI direct coefficient and incremental R² in M3 (relative to M5) are several times larger than the contributions of the curvature-interaction terms, indicating that the bulk of the empirical action operates at the intercept rather than at the curvature. Because absence of moderation cannot be inferred from non-significance alone (Lakens et al., 2018), we frame this evidence as supporting an intercept-dominant interpretation of the TCI effect rather than as a definitive demonstration that curvature moderation is exactly zero. This pattern is consistent with the Rugman and Verbeke (2004) NLB-FSA recombinability prediction.</w:t>
      </w:r>
      <w:r w:rsidDel="00000000" w:rsidR="00000000" w:rsidRPr="00000000">
        <w:rPr>
          <w:rtl w:val="0"/>
        </w:rPr>
      </w:r>
    </w:p>
    <w:p w:rsidR="00000000" w:rsidDel="00000000" w:rsidP="00000000" w:rsidRDefault="00000000" w:rsidRPr="00000000" w14:paraId="000000D1">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4.4 DAI moderation: evidence concentrated in the high-export tail</w:t>
      </w:r>
      <w:r w:rsidDel="00000000" w:rsidR="00000000" w:rsidRPr="00000000">
        <w:rPr>
          <w:rtl w:val="0"/>
        </w:rPr>
      </w:r>
    </w:p>
    <w:p w:rsidR="00000000" w:rsidDel="00000000" w:rsidP="00000000" w:rsidRDefault="00000000" w:rsidRPr="00000000" w14:paraId="000000D2">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DAI exerts a significant direct effect on labour productivity in Model M6 (β_z = 0.117, SE = 0.037, p = .002), supporting the directional component of H3 and indicating that a one-standard-deviation increase in digital adoption is associated with a 0.117 increase in ln(labour productivity), approximately equivalent to an 11.7% higher labour productivity. When both TCI and DAI are included as direct effects in Model M7, the DAI coefficient attenuates but remains significant at the 5% level (β_z = 0.076, p = .049), suggesting partial overlap in the explanatory space captured by the two constructs. The attenuation is consistent with the conditional component of H3: a sizeable share of the unconditional DAI–productivity association reflects average-firm productivity heterogeneity that is also captured by TCI, with the genuinely DAI-specific premium expected to materialize primarily at higher levels of internationalization (formally tested in H4 below).</w:t>
      </w:r>
      <w:r w:rsidDel="00000000" w:rsidR="00000000" w:rsidRPr="00000000">
        <w:rPr>
          <w:rtl w:val="0"/>
        </w:rPr>
      </w:r>
    </w:p>
    <w:p w:rsidR="00000000" w:rsidDel="00000000" w:rsidP="00000000" w:rsidRDefault="00000000" w:rsidRPr="00000000" w14:paraId="000000D3">
      <w:pPr>
        <w:spacing w:after="6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Table 2. Hierarchical OLS regression results — Singapore 2023.</w:t>
      </w:r>
      <w:r w:rsidDel="00000000" w:rsidR="00000000" w:rsidRPr="00000000">
        <w:rPr>
          <w:rtl w:val="0"/>
        </w:rPr>
      </w:r>
    </w:p>
    <w:p w:rsidR="00000000" w:rsidDel="00000000" w:rsidP="00000000" w:rsidRDefault="00000000" w:rsidRPr="00000000" w14:paraId="000000D4">
      <w:pPr>
        <w:spacing w:after="12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DV: Ln(Labour Productivity). HC1 robust standard errors in parentheses.</w:t>
      </w:r>
      <w:r w:rsidDel="00000000" w:rsidR="00000000" w:rsidRPr="00000000">
        <w:rPr>
          <w:rtl w:val="0"/>
        </w:rPr>
      </w:r>
    </w:p>
    <w:tbl>
      <w:tblPr>
        <w:tblStyle w:val="Table2"/>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900"/>
        <w:gridCol w:w="900"/>
        <w:gridCol w:w="900"/>
        <w:gridCol w:w="900"/>
        <w:gridCol w:w="900"/>
        <w:gridCol w:w="900"/>
        <w:gridCol w:w="900"/>
        <w:tblGridChange w:id="0">
          <w:tblGrid>
            <w:gridCol w:w="1620"/>
            <w:gridCol w:w="900"/>
            <w:gridCol w:w="900"/>
            <w:gridCol w:w="900"/>
            <w:gridCol w:w="900"/>
            <w:gridCol w:w="900"/>
            <w:gridCol w:w="9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Variable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6">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M0Ctrl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7">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M2Inv-U</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8">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M5+TCI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9">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M6+DAI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A">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M7T+D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B">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M4DAI×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0DC">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M8Full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D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3.464***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2.764**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3.075***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2.563**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3.492***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3.016**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7">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(0.902)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8">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(0.927)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9">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A">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(0.937)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(0.951)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(0.951)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E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-2.059†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-1.378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-1.731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-1.212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-3.095**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-2.642*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7">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(1.082)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8">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(1.114)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9">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(1.085)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A">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(1.117)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(1.089)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(1.094)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TCI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0F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0.202***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3">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8">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(0.042)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A">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(0.044)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B">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(0.044)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DAI (z)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0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9">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(0.037)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A">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(0.039)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(0.038)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(0.040)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1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2">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-1.256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A">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(0.916)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(0.899)</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FSTS² × 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E">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2F">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0">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1">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2">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2.817*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2.972*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5">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6">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7">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8">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9">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A">
            <w:pPr>
              <w:spacing w:line="240" w:lineRule="auto"/>
              <w:jc w:val="center"/>
              <w:rPr/>
            </w:pP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B">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(1.272)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C">
            <w:pPr>
              <w:spacing w:line="240" w:lineRule="auto"/>
              <w:jc w:val="center"/>
              <w:rPr/>
            </w:pPr>
            <w:r w:rsidDel="00000000" w:rsidR="00000000" w:rsidRPr="00000000">
              <w:rPr>
                <w:rFonts w:ascii="Times New Roman" w:cs="Times New Roman" w:eastAsia="Times New Roman" w:hAnsi="Times New Roman"/>
                <w:b w:val="0"/>
                <w:bCs w:val="0"/>
                <w:i w:val="1"/>
                <w:iCs w:val="1"/>
                <w:sz w:val="16"/>
                <w:szCs w:val="16"/>
                <w:rtl w:val="0"/>
              </w:rPr>
              <w:t xml:space="preserve">(1.303)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Firm size (ln)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3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-0.157***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-0.203***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Firm 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0.017***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Foreign-owned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0.450***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4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0.329***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0.299**</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Sector FE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Yes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Constant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11.69***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5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11.65***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11.84***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11.66***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11.65***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11.83***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R²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0.082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6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0.202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5">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Adj. R²</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0.169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7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0.192</w:t>
            </w:r>
            <w:r w:rsidDel="00000000" w:rsidR="00000000" w:rsidRPr="00000000">
              <w:rPr>
                <w:rtl w:val="0"/>
              </w:rPr>
            </w:r>
          </w:p>
        </w:tc>
      </w:tr>
    </w:tbl>
    <w:p w:rsidR="00000000" w:rsidDel="00000000" w:rsidP="00000000" w:rsidRDefault="00000000" w:rsidRPr="00000000" w14:paraId="0000017D">
      <w:pPr>
        <w:spacing w:after="60" w:line="480" w:lineRule="auto"/>
        <w:jc w:val="left"/>
        <w:rPr/>
      </w:pPr>
      <w:r w:rsidDel="00000000" w:rsidR="00000000" w:rsidRPr="00000000">
        <w:rPr>
          <w:rtl w:val="0"/>
        </w:rPr>
      </w:r>
    </w:p>
    <w:p w:rsidR="00000000" w:rsidDel="00000000" w:rsidP="00000000" w:rsidRDefault="00000000" w:rsidRPr="00000000" w14:paraId="0000017E">
      <w:pPr>
        <w:spacing w:after="24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r w:rsidDel="00000000" w:rsidR="00000000" w:rsidRPr="00000000">
        <w:rPr>
          <w:rtl w:val="0"/>
        </w:rPr>
      </w:r>
    </w:p>
    <w:p w:rsidR="00000000" w:rsidDel="00000000" w:rsidP="00000000" w:rsidRDefault="00000000" w:rsidRPr="00000000" w14:paraId="0000017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The moderation specification indicates that the productivity relevance of digital adoption varies across export intensity. In Model M4, the interaction block is jointly significant (F(2, 605) = 3.28, p = .039), and in the full Model M8 the quadratic interaction term remains positive and significant (FSTS² × DAI: β_z = +2.972, SE = 1.303, p = .023). Substantively, however, the evidence is concentrated in the upper export-intensity range, as Table 4 shows.</w:t>
      </w:r>
      <w:r w:rsidDel="00000000" w:rsidR="00000000" w:rsidRPr="00000000">
        <w:rPr>
          <w:rtl w:val="0"/>
        </w:rPr>
      </w:r>
    </w:p>
    <w:p w:rsidR="00000000" w:rsidDel="00000000" w:rsidP="00000000" w:rsidRDefault="00000000" w:rsidRPr="00000000" w14:paraId="00000180">
      <w:pPr>
        <w:spacing w:after="12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Table 4. Marginal effects of DAI across selected FSTS levels (from Model M8).</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1">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FSTS level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2">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Marginal effect of 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3">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4">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p-value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85">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95% CI</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6">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 = 0% (domestic)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[-0.002, 0.154]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B">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 = 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+0.021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.679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8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[-0.078, 0.120]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0">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0.079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.804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[-0.174, 0.135]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5">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 = 15%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-0.045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0.107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.673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[-0.255, 0.165]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A">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FSTS = 20%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-0.056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0.132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[-0.315, 0.203]</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9F">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30%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-0.033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.847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[-0.367, 0.301]</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4">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.392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[-0.246, 0.629]</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9">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70%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+0.653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0.318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.040*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[0.031, 1.276]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E">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FSTS = 100%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A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+1.792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0.683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.009**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B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[0.453, 3.132]</w:t>
            </w:r>
            <w:r w:rsidDel="00000000" w:rsidR="00000000" w:rsidRPr="00000000">
              <w:rPr>
                <w:rtl w:val="0"/>
              </w:rPr>
            </w:r>
          </w:p>
        </w:tc>
      </w:tr>
    </w:tbl>
    <w:p w:rsidR="00000000" w:rsidDel="00000000" w:rsidP="00000000" w:rsidRDefault="00000000" w:rsidRPr="00000000" w14:paraId="000001B3">
      <w:pPr>
        <w:spacing w:after="60" w:line="480" w:lineRule="auto"/>
        <w:jc w:val="left"/>
        <w:rPr/>
      </w:pPr>
      <w:r w:rsidDel="00000000" w:rsidR="00000000" w:rsidRPr="00000000">
        <w:rPr>
          <w:rtl w:val="0"/>
        </w:rPr>
      </w:r>
    </w:p>
    <w:p w:rsidR="00000000" w:rsidDel="00000000" w:rsidP="00000000" w:rsidRDefault="00000000" w:rsidRPr="00000000" w14:paraId="000001B4">
      <w:pPr>
        <w:spacing w:after="24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Notes: ** p &lt; .01, * p &lt; .05, † p &lt; .10. Marginal effects computed at one-standard-deviation increase in DAI. SEs derived from the variance–covariance matrix of M8 using the delta method.</w:t>
      </w:r>
      <w:r w:rsidDel="00000000" w:rsidR="00000000" w:rsidRPr="00000000">
        <w:rPr>
          <w:rtl w:val="0"/>
        </w:rPr>
      </w:r>
    </w:p>
    <w:p w:rsidR="00000000" w:rsidDel="00000000" w:rsidP="00000000" w:rsidRDefault="00000000" w:rsidRPr="00000000" w14:paraId="000001B5">
      <w:pPr>
        <w:spacing w:after="0" w:line="480" w:lineRule="auto"/>
        <w:ind w:firstLine="720"/>
        <w:jc w:val="both"/>
        <w:rPr/>
      </w:pPr>
      <w:r w:rsidDel="00000000" w:rsidR="00000000" w:rsidRPr="00000000">
        <w:rPr>
          <w:rFonts w:ascii="Gungsuh" w:cs="Gungsuh" w:eastAsia="Gungsuh" w:hAnsi="Gungsuh"/>
          <w:sz w:val="20"/>
          <w:szCs w:val="20"/>
          <w:rtl w:val="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+0.653, p = .040; FSTS = 100%: β = +1.792,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r w:rsidDel="00000000" w:rsidR="00000000" w:rsidRPr="00000000">
        <w:rPr>
          <w:rtl w:val="0"/>
        </w:rPr>
      </w:r>
    </w:p>
    <w:p w:rsidR="00000000" w:rsidDel="00000000" w:rsidP="00000000" w:rsidRDefault="00000000" w:rsidRPr="00000000" w14:paraId="000001B6">
      <w:pPr>
        <w:spacing w:after="240" w:line="28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2. Marginal effects of DAI across FSTS with 95% confidence interval bands.</w:t>
      </w:r>
      <w:r w:rsidDel="00000000" w:rsidR="00000000" w:rsidRPr="00000000">
        <w:rPr>
          <w:rtl w:val="0"/>
        </w:rPr>
      </w:r>
    </w:p>
    <w:p w:rsidR="00000000" w:rsidDel="00000000" w:rsidP="00000000" w:rsidRDefault="00000000" w:rsidRPr="00000000" w14:paraId="000001B7">
      <w:pPr>
        <w:spacing w:after="240" w:line="280" w:lineRule="auto"/>
        <w:jc w:val="center"/>
        <w:rPr/>
      </w:pPr>
      <w:r w:rsidDel="00000000" w:rsidR="00000000" w:rsidRPr="00000000">
        <w:rPr>
          <w:rFonts w:ascii="Times New Roman" w:cs="Times New Roman" w:eastAsia="Times New Roman" w:hAnsi="Times New Roman"/>
          <w:i w:val="1"/>
          <w:iCs w:val="1"/>
          <w:sz w:val="18"/>
          <w:szCs w:val="18"/>
          <w:rtl w:val="0"/>
        </w:rPr>
        <w:t xml:space="preserve">Figure 3. Predicted internationalization–performance curve with 95% confidence band.</w:t>
      </w:r>
      <w:r w:rsidDel="00000000" w:rsidR="00000000" w:rsidRPr="00000000">
        <w:rPr>
          <w:rtl w:val="0"/>
        </w:rPr>
      </w:r>
    </w:p>
    <w:p w:rsidR="00000000" w:rsidDel="00000000" w:rsidP="00000000" w:rsidRDefault="00000000" w:rsidRPr="00000000" w14:paraId="000001B8">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4.5 Robustness checks</w:t>
      </w:r>
      <w:r w:rsidDel="00000000" w:rsidR="00000000" w:rsidRPr="00000000">
        <w:rPr>
          <w:rtl w:val="0"/>
        </w:rPr>
      </w:r>
    </w:p>
    <w:p w:rsidR="00000000" w:rsidDel="00000000" w:rsidP="00000000" w:rsidRDefault="00000000" w:rsidRPr="00000000" w14:paraId="000001B9">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R1 specification restricts DAI to a single-indicator website-presence measure (c22b only) to verify that the moderation pattern is not driven by the two electronic-payment indicators (k33 and k38) included in the baseline DAI composite. Under this single-indicator restriction, the quadratic interaction loses individual significance (β = 1.563, ns), consistent with the loss of identifying variation that occurs when the richer DAI composite is reduced to website presence alone. This attenuation suggests that the baseline interaction draws meaningful variation from the electronic-payment indicators in addition to website presence.</w:t>
      </w:r>
      <w:r w:rsidDel="00000000" w:rsidR="00000000" w:rsidRPr="00000000">
        <w:rPr>
          <w:rtl w:val="0"/>
        </w:rPr>
      </w:r>
    </w:p>
    <w:p w:rsidR="00000000" w:rsidDel="00000000" w:rsidP="00000000" w:rsidRDefault="00000000" w:rsidRPr="00000000" w14:paraId="000001BA">
      <w:pPr>
        <w:spacing w:after="0" w:line="480" w:lineRule="auto"/>
        <w:ind w:firstLine="720"/>
        <w:jc w:val="both"/>
        <w:rPr/>
      </w:pPr>
      <w:r w:rsidDel="00000000" w:rsidR="00000000" w:rsidRPr="00000000">
        <w:rPr>
          <w:rFonts w:ascii="Cardo" w:cs="Cardo" w:eastAsia="Cardo" w:hAnsi="Cardo"/>
          <w:sz w:val="20"/>
          <w:szCs w:val="20"/>
          <w:rtl w:val="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Collectively, these six specifications serve as a sensitivity probe for whether the OLS estimates are driven by any single operational decision — the breadth of DAI, the breadth of TCI, the inclusion of micro-firms, an SME-only orientation, or exporter selection — and the persistence of the FSTS² × DAI sign across all six rows constitutes the strongest internal-stability check available within the cross-sectional WBES design. For the exporters-only subsample (R5; N = 84), however, the estimates are appreciably less stable: the adjusted R² falls to 0.140, the joint F is significant only at the .033 level, and the right tail of FSTS is sparsely populated. We therefore treat the high-export-intensity inferences drawn from the exporters-only subsample as suggestive rather than definitive, and rely on the full-sample specifications (M8 and R3–R4) for the central inferential claim.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(M7 → M8) is approximately 0.018, below Cohen’s (1988) conventional “small” threshold of 0.02 but consistent with typical magnitudes of moderation effects in organizational research (Aguinis et al., 2005).</w:t>
      </w:r>
      <w:r w:rsidDel="00000000" w:rsidR="00000000" w:rsidRPr="00000000">
        <w:rPr>
          <w:rtl w:val="0"/>
        </w:rPr>
      </w:r>
      <w:r>
        <w:rPr>
          <w:rFonts w:ascii="Times New Roman" w:hAnsi="Times New Roman"/>
          <w:sz w:val="22"/>
        </w:rPr>
        <w:t xml:space="preserve"> At the same time, the robustness evidence should be read within the measurement boundary of the DAI construct: the baseline index captures foundational digital presence and transaction usage rather than deeper digitally integrated organizational capability. The substantive stability of the moderation result across these alternative specifications therefore supports the manuscript's central claim about digital adoption at the Tier 1-2 level, not a broader claim about digital capability in the stronger Tier 3-4 sense.</w:t>
      </w:r>
    </w:p>
    <w:p w:rsidR="00000000" w:rsidDel="00000000" w:rsidP="00000000" w:rsidRDefault="00000000" w:rsidRPr="00000000" w14:paraId="000001BB">
      <w:pPr>
        <w:spacing w:after="60" w:line="480" w:lineRule="auto"/>
        <w:jc w:val="left"/>
        <w:rPr/>
      </w:pPr>
      <w:r w:rsidDel="00000000" w:rsidR="00000000" w:rsidRPr="00000000">
        <w:rPr>
          <w:rFonts w:ascii="Times New Roman" w:cs="Times New Roman" w:eastAsia="Times New Roman" w:hAnsi="Times New Roman"/>
          <w:b w:val="1"/>
          <w:bCs w:val="1"/>
          <w:sz w:val="20"/>
          <w:szCs w:val="20"/>
          <w:rtl w:val="0"/>
        </w:rPr>
        <w:t xml:space="preserve">Table 3. Robustness checks for primary findings (six specifications).</w:t>
      </w:r>
      <w:r w:rsidDel="00000000" w:rsidR="00000000" w:rsidRPr="00000000">
        <w:rPr>
          <w:rtl w:val="0"/>
        </w:rPr>
      </w:r>
    </w:p>
    <w:p w:rsidR="00000000" w:rsidDel="00000000" w:rsidP="00000000" w:rsidRDefault="00000000" w:rsidRPr="00000000" w14:paraId="000001BC">
      <w:pPr>
        <w:spacing w:after="120" w:line="480" w:lineRule="auto"/>
        <w:jc w:val="left"/>
        <w:rPr/>
      </w:pPr>
      <w:r w:rsidDel="00000000" w:rsidR="00000000" w:rsidRPr="00000000">
        <w:rPr>
          <w:rFonts w:ascii="Times New Roman" w:cs="Times New Roman" w:eastAsia="Times New Roman" w:hAnsi="Times New Roman"/>
          <w:i w:val="1"/>
          <w:iCs w:val="1"/>
          <w:sz w:val="16"/>
          <w:szCs w:val="16"/>
          <w:rtl w:val="0"/>
        </w:rPr>
        <w:t xml:space="preserve">DV: Ln(Labour Productivity). HC1 robust standard errors. Each row reports a separate full-specification regression with controls.</w:t>
      </w:r>
      <w:r w:rsidDel="00000000" w:rsidR="00000000" w:rsidRPr="00000000">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800"/>
        <w:gridCol w:w="1300"/>
        <w:gridCol w:w="1300"/>
        <w:gridCol w:w="1500"/>
        <w:gridCol w:w="900"/>
        <w:tblGridChange w:id="0">
          <w:tblGrid>
            <w:gridCol w:w="2700"/>
            <w:gridCol w:w="800"/>
            <w:gridCol w:w="1300"/>
            <w:gridCol w:w="1300"/>
            <w:gridCol w:w="1500"/>
            <w:gridCol w:w="9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D">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Specification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E">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BF">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TCI β_z</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0">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FSTS² × DAI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1">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Joint F (p)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eeeee" w:val="clear"/>
            <w:tcMar>
              <w:top w:w="60.0" w:type="dxa"/>
              <w:left w:w="80.0" w:type="dxa"/>
              <w:bottom w:w="60.0" w:type="dxa"/>
              <w:right w:w="80.0" w:type="dxa"/>
            </w:tcMar>
          </w:tcPr>
          <w:p w:rsidR="00000000" w:rsidDel="00000000" w:rsidP="00000000" w:rsidRDefault="00000000" w:rsidRPr="00000000" w14:paraId="000001C2">
            <w:pPr>
              <w:spacing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Adj. R²</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3">
            <w:pPr>
              <w:spacing w:line="240" w:lineRule="auto"/>
              <w:jc w:val="left"/>
              <w:rPr/>
            </w:pPr>
            <w:r w:rsidDel="00000000" w:rsidR="00000000" w:rsidRPr="00000000">
              <w:rPr>
                <w:rFonts w:ascii="Times New Roman" w:cs="Times New Roman" w:eastAsia="Times New Roman" w:hAnsi="Times New Roman"/>
                <w:b w:val="1"/>
                <w:bCs w:val="1"/>
                <w:sz w:val="16"/>
                <w:szCs w:val="16"/>
                <w:rtl w:val="0"/>
              </w:rPr>
              <w:t xml:space="preserve">Baseline (TCI_full + DAI_rich)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2.972*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3.28 (.039)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0.192</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9">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R1: DAI_thin (website c22b only)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B">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1.563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0.95 (.388)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0.184</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CF">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R2: TCI_thin (e6 + b8)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617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1">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0.171***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2.749*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2.97 (.052)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0.188</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5">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R3: Excl micro-firms (&lt;10 empl)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464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7">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0.218***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8">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3.535*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9">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4.64 (.010)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A">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0.226</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B">
            <w:pPr>
              <w:spacing w:line="240" w:lineRule="auto"/>
              <w:jc w:val="left"/>
              <w:rPr/>
            </w:pPr>
            <w:r w:rsidDel="00000000" w:rsidR="00000000" w:rsidRPr="00000000">
              <w:rPr>
                <w:rFonts w:ascii="Gungsuh" w:cs="Gungsuh" w:eastAsia="Gungsuh" w:hAnsi="Gungsuh"/>
                <w:b w:val="0"/>
                <w:bCs w:val="0"/>
                <w:sz w:val="16"/>
                <w:szCs w:val="16"/>
                <w:rtl w:val="0"/>
              </w:rPr>
              <w:t xml:space="preserve">R4: SMEs only (≤200 empl)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C">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595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D">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0.180***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E">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3.483**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DF">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3.81 (.023)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0">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0.197</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1">
            <w:pPr>
              <w:spacing w:line="240" w:lineRule="auto"/>
              <w:jc w:val="left"/>
              <w:rPr/>
            </w:pPr>
            <w:r w:rsidDel="00000000" w:rsidR="00000000" w:rsidRPr="00000000">
              <w:rPr>
                <w:rFonts w:ascii="Times New Roman" w:cs="Times New Roman" w:eastAsia="Times New Roman" w:hAnsi="Times New Roman"/>
                <w:b w:val="0"/>
                <w:bCs w:val="0"/>
                <w:sz w:val="16"/>
                <w:szCs w:val="16"/>
                <w:rtl w:val="0"/>
              </w:rPr>
              <w:t xml:space="preserve">R5: Exporters only (FSTS &gt; 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2">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84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3">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0.143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4">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1.308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5">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3.18 (.048)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tcPr>
          <w:p w:rsidR="00000000" w:rsidDel="00000000" w:rsidP="00000000" w:rsidRDefault="00000000" w:rsidRPr="00000000" w14:paraId="000001E6">
            <w:pPr>
              <w:spacing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0.140</w:t>
            </w:r>
            <w:r w:rsidDel="00000000" w:rsidR="00000000" w:rsidRPr="00000000">
              <w:rPr>
                <w:rtl w:val="0"/>
              </w:rPr>
            </w:r>
          </w:p>
        </w:tc>
      </w:tr>
    </w:tbl>
    <w:p w:rsidR="00000000" w:rsidDel="00000000" w:rsidP="00000000" w:rsidRDefault="00000000" w:rsidRPr="00000000" w14:paraId="000001E7">
      <w:pPr>
        <w:spacing w:after="60" w:line="480" w:lineRule="auto"/>
        <w:jc w:val="left"/>
        <w:rPr/>
      </w:pPr>
      <w:r w:rsidDel="00000000" w:rsidR="00000000" w:rsidRPr="00000000">
        <w:rPr>
          <w:rtl w:val="0"/>
        </w:rPr>
      </w:r>
    </w:p>
    <w:p w:rsidR="00000000" w:rsidDel="00000000" w:rsidP="00000000" w:rsidRDefault="00000000" w:rsidRPr="00000000" w14:paraId="000001E8">
      <w:pPr>
        <w:spacing w:after="240" w:line="480" w:lineRule="auto"/>
        <w:jc w:val="left"/>
        <w:rPr/>
      </w:pPr>
      <w:r w:rsidDel="00000000" w:rsidR="00000000" w:rsidRPr="00000000">
        <w:rPr>
          <w:rFonts w:ascii="Gungsuh" w:cs="Gungsuh" w:eastAsia="Gungsuh" w:hAnsi="Gungsuh"/>
          <w:i w:val="1"/>
          <w:iCs w:val="1"/>
          <w:sz w:val="16"/>
          <w:szCs w:val="16"/>
          <w:rtl w:val="0"/>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c22b only) for DAI_rich; this single-indicator specification verifies that the moderation pattern is not driven by the inclusion of electronic-payment indicators k33 and k38 in the baseline DAI composite. R2 uses TCI_thin (e6 + b8 only) instead of TCI_full. R3 excludes micro-firms with fewer than 10 employees. R4 restricts the sample to small and medium-sized enterprises with ≤ 200 employees. R5 restricts the sample to non-zero exporters (FSTS &gt; 0).</w:t>
      </w:r>
      <w:r w:rsidDel="00000000" w:rsidR="00000000" w:rsidRPr="00000000">
        <w:rPr>
          <w:rtl w:val="0"/>
        </w:rPr>
      </w:r>
      <w:r>
        <w:rPr>
          <w:rFonts w:ascii="Times New Roman" w:hAnsi="Times New Roman"/>
          <w:sz w:val="18"/>
        </w:rPr>
        <w:t xml:space="preserve"> Across these specifications, DAI should be interpreted as a Tier 1-2 digital-adoption construct anchored in website presence and electronic-payment usage rather than as a broader measure of digitally integrated organizational capability.</w:t>
      </w:r>
    </w:p>
    <w:p w:rsidR="00000000" w:rsidDel="00000000" w:rsidP="00000000" w:rsidRDefault="00000000" w:rsidRPr="00000000" w14:paraId="000001E9">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5 Discussion</w:t>
      </w:r>
      <w:r w:rsidDel="00000000" w:rsidR="00000000" w:rsidRPr="00000000">
        <w:rPr>
          <w:rtl w:val="0"/>
        </w:rPr>
      </w:r>
    </w:p>
    <w:p w:rsidR="00000000" w:rsidDel="00000000" w:rsidP="00000000" w:rsidRDefault="00000000" w:rsidRPr="00000000" w14:paraId="000001EA">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5.1 Theoretical implications</w:t>
      </w:r>
      <w:r w:rsidDel="00000000" w:rsidR="00000000" w:rsidRPr="00000000">
        <w:rPr>
          <w:rtl w:val="0"/>
        </w:rPr>
      </w:r>
    </w:p>
    <w:p w:rsidR="00000000" w:rsidDel="00000000" w:rsidP="00000000" w:rsidRDefault="00000000" w:rsidRPr="00000000" w14:paraId="000001EB">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r w:rsidDel="00000000" w:rsidR="00000000" w:rsidRPr="00000000">
        <w:rPr>
          <w:rtl w:val="0"/>
        </w:rPr>
      </w:r>
    </w:p>
    <w:p w:rsidR="00000000" w:rsidDel="00000000" w:rsidP="00000000" w:rsidRDefault="00000000" w:rsidRPr="00000000" w14:paraId="000001EC">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Second, the present evidence qualifies rather than overturns the conventional nonlinear I–P literature (Contractor et al., 2003; Hitt et al., 1997; Lu &amp; Beamish, 2004; Marano et al., 2016).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(Marano et al., 2016) need not generalize to digital-frontier institutional environments without explicit specification of the digital-infrastructure boundary under which it holds.</w:t>
      </w:r>
      <w:r w:rsidDel="00000000" w:rsidR="00000000" w:rsidRPr="00000000">
        <w:rPr>
          <w:rtl w:val="0"/>
        </w:rPr>
      </w:r>
    </w:p>
    <w:p w:rsidR="00000000" w:rsidDel="00000000" w:rsidP="00000000" w:rsidRDefault="00000000" w:rsidRPr="00000000" w14:paraId="000001ED">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r w:rsidDel="00000000" w:rsidR="00000000" w:rsidRPr="00000000">
        <w:rPr>
          <w:rtl w:val="0"/>
        </w:rPr>
      </w:r>
      <w:r>
        <w:rPr>
          <w:rFonts w:ascii="Times New Roman" w:hAnsi="Times New Roman"/>
          <w:sz w:val="22"/>
        </w:rPr>
        <w:t xml:space="preserve"> In the present setting, the observed DAI effect should be understood as evidence about the productivity relevance of Tier 1-2 digitalization in a digital-frontier economy, not as direct evidence about deeper digitally integrated organizational capability.</w:t>
      </w:r>
    </w:p>
    <w:p w:rsidR="00000000" w:rsidDel="00000000" w:rsidP="00000000" w:rsidRDefault="00000000" w:rsidRPr="00000000" w14:paraId="000001EE">
      <w:pPr>
        <w:spacing w:after="160" w:before="280" w:lineRule="auto"/>
        <w:jc w:val="left"/>
        <w:rPr/>
      </w:pPr>
      <w:r w:rsidDel="00000000" w:rsidR="00000000" w:rsidRPr="00000000">
        <w:rPr>
          <w:rFonts w:ascii="Times New Roman" w:cs="Times New Roman" w:eastAsia="Times New Roman" w:hAnsi="Times New Roman"/>
          <w:b w:val="1"/>
          <w:bCs w:val="1"/>
          <w:sz w:val="22"/>
          <w:szCs w:val="22"/>
          <w:rtl w:val="0"/>
        </w:rPr>
        <w:t xml:space="preserve">5.2 Managerial implications</w:t>
      </w:r>
      <w:r w:rsidDel="00000000" w:rsidR="00000000" w:rsidRPr="00000000">
        <w:rPr>
          <w:rtl w:val="0"/>
        </w:rPr>
      </w:r>
    </w:p>
    <w:p w:rsidR="00000000" w:rsidDel="00000000" w:rsidP="00000000" w:rsidRDefault="00000000" w:rsidRPr="00000000" w14:paraId="000001EF">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r w:rsidDel="00000000" w:rsidR="00000000" w:rsidRPr="00000000">
        <w:rPr>
          <w:rtl w:val="0"/>
        </w:rPr>
      </w:r>
    </w:p>
    <w:p w:rsidR="00000000" w:rsidDel="00000000" w:rsidP="00000000" w:rsidRDefault="00000000" w:rsidRPr="00000000" w14:paraId="000001F0">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r w:rsidDel="00000000" w:rsidR="00000000" w:rsidRPr="00000000">
        <w:rPr>
          <w:rtl w:val="0"/>
        </w:rPr>
      </w:r>
    </w:p>
    <w:p w:rsidR="00000000" w:rsidDel="00000000" w:rsidP="00000000" w:rsidRDefault="00000000" w:rsidRPr="00000000" w14:paraId="000001F1">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r w:rsidDel="00000000" w:rsidR="00000000" w:rsidRPr="00000000">
        <w:rPr>
          <w:rtl w:val="0"/>
        </w:rPr>
      </w:r>
    </w:p>
    <w:p w:rsidR="00000000" w:rsidDel="00000000" w:rsidP="00000000" w:rsidRDefault="00000000" w:rsidRPr="00000000" w14:paraId="000001F2">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r w:rsidDel="00000000" w:rsidR="00000000" w:rsidRPr="00000000">
        <w:rPr>
          <w:rtl w:val="0"/>
        </w:rPr>
      </w:r>
    </w:p>
    <w:p w:rsidR="00000000" w:rsidDel="00000000" w:rsidP="00000000" w:rsidRDefault="00000000" w:rsidRPr="00000000" w14:paraId="000001F3">
      <w:pPr>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6 Limitations and Future Research</w:t>
      </w:r>
      <w:r w:rsidDel="00000000" w:rsidR="00000000" w:rsidRPr="00000000">
        <w:rPr>
          <w:rtl w:val="0"/>
        </w:rPr>
      </w:r>
    </w:p>
    <w:p w:rsidR="00000000" w:rsidDel="00000000" w:rsidP="00000000" w:rsidRDefault="00000000" w:rsidRPr="00000000" w14:paraId="000001F4">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Three limitations warrant explicit caution in interpreting the findings. First, the analysis is cross-sectional, and the identification strategy is therefore associational rather than causal (Antonakis et al., 2010; Shaver, 2020). The observed positive associations between TCI, DAI, internationalization, and labour productivity admit at least two non-causal interpretations consistent with the data. The first is productivity-driven self-selection into digital adoption: more productive firms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restrict interpretation to a boundary-condition claim — that the I–P curvature and the marginal value of digital adoption appear systematically conditional on export intensity in a digital-frontier setting (Meyer et al., 2017) — while leaving causal identification to designs we cannot implement here.</w:t>
      </w:r>
      <w:r w:rsidDel="00000000" w:rsidR="00000000" w:rsidRPr="00000000">
        <w:rPr>
          <w:rtl w:val="0"/>
        </w:rPr>
      </w:r>
    </w:p>
    <w:p w:rsidR="00000000" w:rsidDel="00000000" w:rsidP="00000000" w:rsidRDefault="00000000" w:rsidRPr="00000000" w14:paraId="000001F5">
      <w:pPr>
        <w:spacing w:after="0" w:line="480" w:lineRule="auto"/>
        <w:ind w:firstLine="720"/>
        <w:jc w:val="both"/>
        <w:rPr/>
      </w:pPr>
      <w:r w:rsidDel="00000000" w:rsidR="00000000" w:rsidRPr="00000000">
        <w:rPr>
          <w:rFonts w:ascii="Gungsuh" w:cs="Gungsuh" w:eastAsia="Gungsuh" w:hAnsi="Gungsuh"/>
          <w:sz w:val="20"/>
          <w:szCs w:val="20"/>
          <w:rtl w:val="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Two specific consequences follow. First, the apparent quadratic turning point of the I–P curve at FSTS ≈ 88.6% (on the original uncentered scale) is identified primarily from a sparsely populated region of the FSTS distribution and should therefore be treated as a within-sample descriptive feature rather than as a structurally identified inflection. Second, the DAI moderation pattern in Table 4 attains conventional significance only at FSTS = 70% and FSTS = 100%, and the exporters-only subsample (R5 in Table 3, N = 84) yields a substantially lower adjusted R² than the full-sample specifications. The scale-enabling-complement finding is therefore best characterized as suggestive evidence consistent with a digital-frontier boundary condition rather than as a structurally identified universal pattern. Replication on larger samples of high-intensity exporters from comparable digital-frontier economies — where the right tail of FSTS is denser and support-aware diagnostics can be applied more powerfully — would substantially strengthen the inference.</w:t>
      </w:r>
      <w:r w:rsidDel="00000000" w:rsidR="00000000" w:rsidRPr="00000000">
        <w:rPr>
          <w:rtl w:val="0"/>
        </w:rPr>
      </w:r>
    </w:p>
    <w:p w:rsidR="00000000" w:rsidDel="00000000" w:rsidP="00000000" w:rsidRDefault="00000000" w:rsidRPr="00000000" w14:paraId="000001F6">
      <w:pPr>
        <w:spacing w:after="0" w:line="480" w:lineRule="auto"/>
        <w:ind w:firstLine="720"/>
        <w:jc w:val="both"/>
        <w:rPr/>
      </w:pPr>
      <w:r w:rsidDel="00000000" w:rsidR="00000000" w:rsidRPr="00000000">
        <w:rPr>
          <w:rFonts w:ascii="Gungsuh" w:cs="Gungsuh" w:eastAsia="Gungsuh" w:hAnsi="Gungsuh"/>
          <w:sz w:val="20"/>
          <w:szCs w:val="20"/>
          <w:rtl w:val="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The DAI indicators available in WBES 2023 capture Tier 1–2 digital adoption (digital presence and digital transaction usage) rather than Tier 3–4 digital capability or digital dynamic capability in the Verhoef et al. (2021) hierarchy; whether the scale-enabling-complement pattern persists, attenuates, or is amplified under richer measures of digitally integrated organizational capabilities is therefore an open empirical question. Future research should examine whether the same pattern appears in other digitally mature economies (e.g., Hong Kong, Republic of Korea, Taiwan) and under purpose-designed instruments that capture deeper digital dynamic capabilities (Verhoef et al., 2021).</w:t>
      </w:r>
      <w:r w:rsidDel="00000000" w:rsidR="00000000" w:rsidRPr="00000000">
        <w:rPr>
          <w:rtl w:val="0"/>
        </w:rPr>
      </w:r>
      <w:r>
        <w:rPr>
          <w:rFonts w:ascii="Times New Roman" w:hAnsi="Times New Roman"/>
          <w:sz w:val="22"/>
        </w:rPr>
        <w:t xml:space="preserve"> Future research should extend this measurement architecture by linking WBES microdata, where confidentiality arrangements permit, to proprietary firm-level databases such as Bureau van Dijk's Orbis, or by using purpose-built survey instruments modeled on the World Bank's Firm-level Adoption of Technology framework (Cirera, Comin, &amp; Cruz, 2022), which can better capture process-level digital integration and higher-order capability depth.</w:t>
      </w:r>
    </w:p>
    <w:p w:rsidR="00000000" w:rsidDel="00000000" w:rsidP="00000000" w:rsidRDefault="00000000" w:rsidRPr="00000000" w14:paraId="000001F7">
      <w:pPr>
        <w:spacing w:after="0" w:line="480" w:lineRule="auto"/>
        <w:ind w:firstLine="720"/>
        <w:jc w:val="both"/>
        <w:rPr/>
      </w:pPr>
      <w:r w:rsidDel="00000000" w:rsidR="00000000" w:rsidRPr="00000000">
        <w:rPr>
          <w:rFonts w:ascii="Times New Roman" w:cs="Times New Roman" w:eastAsia="Times New Roman" w:hAnsi="Times New Roman"/>
          <w:sz w:val="20"/>
          <w:szCs w:val="20"/>
          <w:rtl w:val="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 Causal identification, in particular, would benefit from firm-level panel data — successive WBES waves, national statistical-office firm registers, or proprietary firm-level databases — that permit firm fixed-effects estimation, which partials out time-invariant unobserved firm heterogeneity such as founder ability and intangible-capital stocks. Where suitable instruments are available (e.g., regional digital-infrastructure rollouts or plausibly exogenous trade-policy shocks), instrumental-variable or difference-in-differences designs would further upgrade the present associational evidence to a causal identification (Antonakis et al., 2010; Shaver, 2020). These designs would directly test whether the boundary condition documented here — namely, that digital adoption operates as a scale-enabling complement at high export intensity in digital-frontier settings — is causally generated rather than reflecting selection on unobserved firm-level performance heterogeneity.</w:t>
      </w:r>
      <w:r w:rsidDel="00000000" w:rsidR="00000000" w:rsidRPr="00000000">
        <w:rPr>
          <w:rtl w:val="0"/>
        </w:rPr>
      </w:r>
    </w:p>
    <w:p w:rsidR="00000000" w:rsidDel="00000000" w:rsidP="00000000" w:rsidRDefault="00000000" w:rsidRPr="00000000" w14:paraId="000001F8">
      <w:pPr>
        <w:pageBreakBefore w:val="1"/>
        <w:spacing w:after="240" w:before="360" w:lineRule="auto"/>
        <w:jc w:val="left"/>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F9">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Aguinis, H., Beaty, J. C., Boik, R. J., &amp; Pierce, C. A. (2005). Effect size and power in assessing moderating effects of categorical variables using multiple regression: A 30-year review. Journal of Applied Psychology, 90(1), 94–107. https://doi.org/10.1037/0021-9010.90.1.94</w:t>
      </w:r>
      <w:r w:rsidDel="00000000" w:rsidR="00000000" w:rsidRPr="00000000">
        <w:rPr>
          <w:rtl w:val="0"/>
        </w:rPr>
      </w:r>
    </w:p>
    <w:p w:rsidR="00000000" w:rsidDel="00000000" w:rsidP="00000000" w:rsidRDefault="00000000" w:rsidRPr="00000000" w14:paraId="000001FA">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Aiken, L. S., &amp; West, S. G. (1991). Multiple regression: Testing and interpreting interactions. Sage.</w:t>
      </w:r>
      <w:r w:rsidDel="00000000" w:rsidR="00000000" w:rsidRPr="00000000">
        <w:rPr>
          <w:rtl w:val="0"/>
        </w:rPr>
      </w:r>
    </w:p>
    <w:p w:rsidR="00000000" w:rsidDel="00000000" w:rsidP="00000000" w:rsidRDefault="00000000" w:rsidRPr="00000000" w14:paraId="000001FB">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Antonakis, J., Bendahan, S., Jacquart, P., &amp; Lalive, R. (2010). On making causal claims: A review and recommendations. The Leadership Quarterly, 21(6), 1086–1120. https://doi.org/10.1016/j.leaqua.2010.10.010</w:t>
      </w:r>
      <w:r w:rsidDel="00000000" w:rsidR="00000000" w:rsidRPr="00000000">
        <w:rPr>
          <w:rtl w:val="0"/>
        </w:rPr>
      </w:r>
    </w:p>
    <w:p w:rsidR="00000000" w:rsidDel="00000000" w:rsidP="00000000" w:rsidRDefault="00000000" w:rsidRPr="00000000" w14:paraId="000001FC">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Avenyo, E. K., Tregenna, F., &amp; Kraemer-Mbula, E. (2021). Do productive capabilities affect export performance? Microeconomic evidence from sub-Saharan Africa. European Journal of Development Research, 33(2), 304–329. https://doi.org/10.1057/s41287-020-00328-2</w:t>
      </w:r>
      <w:r w:rsidDel="00000000" w:rsidR="00000000" w:rsidRPr="00000000">
        <w:rPr>
          <w:rtl w:val="0"/>
        </w:rPr>
      </w:r>
    </w:p>
    <w:p w:rsidR="00000000" w:rsidDel="00000000" w:rsidP="00000000" w:rsidRDefault="00000000" w:rsidRPr="00000000" w14:paraId="000001FD">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Banalieva, E. R., &amp; Dhanaraj, C. (2019). Internalization theory for the digital economy. Journal of International Business Studies, 50(8), 1372–1387. https://doi.org/10.1057/s41267-019-00243-7</w:t>
      </w:r>
      <w:r w:rsidDel="00000000" w:rsidR="00000000" w:rsidRPr="00000000">
        <w:rPr>
          <w:rtl w:val="0"/>
        </w:rPr>
      </w:r>
    </w:p>
    <w:p w:rsidR="00000000" w:rsidDel="00000000" w:rsidP="00000000" w:rsidRDefault="00000000" w:rsidRPr="00000000" w14:paraId="000001FE">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Barney, J. (1991). Firm resources and sustained competitive advantage. Journal of Management, 17(1), 99–120. https://doi.org/10.1177/014920639101700108</w:t>
      </w:r>
      <w:r w:rsidDel="00000000" w:rsidR="00000000" w:rsidRPr="00000000">
        <w:rPr>
          <w:rtl w:val="0"/>
        </w:rPr>
      </w:r>
    </w:p>
    <w:p w:rsidR="00000000" w:rsidDel="00000000" w:rsidP="00000000" w:rsidRDefault="00000000" w:rsidRPr="00000000" w14:paraId="000001FF">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Bharadwaj, A., El Sawy, O. A., Pavlou, P. A., &amp; Venkatraman, N. (2013). Digital business strategy: Toward a next generation of insights. MIS Quarterly, 37(2), 471–482. https://doi.org/10.25300/MISQ/2013/37:2.3</w:t>
      </w:r>
      <w:r w:rsidDel="00000000" w:rsidR="00000000" w:rsidRPr="00000000">
        <w:rPr>
          <w:rtl w:val="0"/>
        </w:rPr>
      </w:r>
    </w:p>
    <w:p w:rsidR="00000000" w:rsidDel="00000000" w:rsidP="00000000" w:rsidRDefault="00000000" w:rsidRPr="00000000" w14:paraId="00000200">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Brynjolfsson, E., Rock, D., &amp; Syverson, C. (2021). The productivity J-curve: How intangibles complement general purpose technologies. American Economic Journal: Macroeconomics, 13(1), 333–372. https://doi.org/10.1257/mac.20180386</w:t>
      </w:r>
      <w:r w:rsidDel="00000000" w:rsidR="00000000" w:rsidRPr="00000000">
        <w:rPr>
          <w:rtl w:val="0"/>
        </w:rPr>
      </w:r>
    </w:p>
    <w:p w:rsidR="00000000" w:rsidDel="00000000" w:rsidP="00000000" w:rsidRDefault="00000000" w:rsidRPr="00000000" w14:paraId="00000201">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Cohen, J. (1988). Statistical power analysis for the behavioral sciences (2nd ed.). Lawrence Erlbaum.</w:t>
      </w:r>
      <w:r w:rsidDel="00000000" w:rsidR="00000000" w:rsidRPr="00000000">
        <w:rPr>
          <w:rtl w:val="0"/>
        </w:rPr>
      </w:r>
    </w:p>
    <w:p w:rsidR="00000000" w:rsidDel="00000000" w:rsidP="00000000" w:rsidRDefault="00000000" w:rsidRPr="00000000" w14:paraId="00000202">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Cohen, W. M., &amp; Levinthal, D. A. (1990). Absorptive capacity: A new perspective on learning and innovation. Administrative Science Quarterly, 35(1), 128–152. https://doi.org/10.2307/2393553</w:t>
      </w:r>
      <w:r w:rsidDel="00000000" w:rsidR="00000000" w:rsidRPr="00000000">
        <w:rPr>
          <w:rtl w:val="0"/>
        </w:rPr>
      </w:r>
    </w:p>
    <w:p w:rsidR="00000000" w:rsidDel="00000000" w:rsidP="00000000" w:rsidRDefault="00000000" w:rsidRPr="00000000" w14:paraId="00000203">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Coltman, T., Devinney, T. M., Midgley, D. F., &amp; Venaik, S. (2008). Formative versus reflective measurement models: Two applications of formative measurement. Journal of Business Research, 61(12), 1250–1262. https://doi.org/10.1016/j.jbusres.2008.01.013</w:t>
      </w:r>
      <w:r w:rsidDel="00000000" w:rsidR="00000000" w:rsidRPr="00000000">
        <w:rPr>
          <w:rtl w:val="0"/>
        </w:rPr>
      </w:r>
    </w:p>
    <w:p w:rsidR="00000000" w:rsidDel="00000000" w:rsidP="00000000" w:rsidRDefault="00000000" w:rsidRPr="00000000" w14:paraId="00000204">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Contractor, F. J. (2007). Is international business good for companies? The evolutionary or multi-stage theory of internationalization vs. the transaction cost perspective. Management International Review, 47(3), 453–475. https://doi.org/10.1007/s11575-007-0024-2</w:t>
      </w:r>
      <w:r w:rsidDel="00000000" w:rsidR="00000000" w:rsidRPr="00000000">
        <w:rPr>
          <w:rtl w:val="0"/>
        </w:rPr>
      </w:r>
    </w:p>
    <w:p w:rsidR="00000000" w:rsidDel="00000000" w:rsidP="00000000" w:rsidRDefault="00000000" w:rsidRPr="00000000" w14:paraId="00000205">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Contractor, F. J., Kundu, S. K., &amp; Hsu, C.-C. (2003). A three-stage theory of international expansion: The link between multinationality and performance in the service sector. Journal of International Business Studies, 34(1), 5–18. https://doi.org/10.1057/palgrave.jibs.8400003</w:t>
      </w:r>
      <w:r w:rsidDel="00000000" w:rsidR="00000000" w:rsidRPr="00000000">
        <w:rPr>
          <w:rtl w:val="0"/>
        </w:rPr>
      </w:r>
    </w:p>
    <w:p w:rsidR="00000000" w:rsidDel="00000000" w:rsidP="00000000" w:rsidRDefault="00000000" w:rsidRPr="00000000" w14:paraId="00000206">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Haans, R. F. J., Pieters, C., &amp; He, Z.-L. (2016). Thinking about U: Theorizing and testing U- and inverted U-shaped relationships in strategy research. Strategic Management Journal, 37(7), 1177–1195. https://doi.org/10.1002/smj.2399</w:t>
      </w:r>
      <w:r w:rsidDel="00000000" w:rsidR="00000000" w:rsidRPr="00000000">
        <w:rPr>
          <w:rtl w:val="0"/>
        </w:rPr>
      </w:r>
    </w:p>
    <w:p w:rsidR="00000000" w:rsidDel="00000000" w:rsidP="00000000" w:rsidRDefault="00000000" w:rsidRPr="00000000" w14:paraId="00000207">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Hambrick, D. C., &amp; Mason, P. A. (1984). Upper echelons: The organization as a reflection of its top managers. Academy of Management Review, 9(2), 193–206. https://doi.org/10.5465/amr.1984.4277628</w:t>
      </w:r>
      <w:r w:rsidDel="00000000" w:rsidR="00000000" w:rsidRPr="00000000">
        <w:rPr>
          <w:rtl w:val="0"/>
        </w:rPr>
      </w:r>
    </w:p>
    <w:p w:rsidR="00000000" w:rsidDel="00000000" w:rsidP="00000000" w:rsidRDefault="00000000" w:rsidRPr="00000000" w14:paraId="00000208">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Hitt, M. A., Hoskisson, R. E., &amp; Kim, H. (1997). International diversification: Effects on innovation and firm performance in product-diversified firms. Academy of Management Journal, 40(4), 767–798. https://doi.org/10.5465/256948</w:t>
      </w:r>
      <w:r w:rsidDel="00000000" w:rsidR="00000000" w:rsidRPr="00000000">
        <w:rPr>
          <w:rtl w:val="0"/>
        </w:rPr>
      </w:r>
    </w:p>
    <w:p w:rsidR="00000000" w:rsidDel="00000000" w:rsidP="00000000" w:rsidRDefault="00000000" w:rsidRPr="00000000" w14:paraId="00000209">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Krammer, S. M. S., Strange, R., &amp; Lashitew, A. (2018). The export performance of emerging economy firms. International Business Review, 27(1), 218–230. https://doi.org/10.1016/j.ibusrev.2017.07.003</w:t>
      </w:r>
      <w:r w:rsidDel="00000000" w:rsidR="00000000" w:rsidRPr="00000000">
        <w:rPr>
          <w:rtl w:val="0"/>
        </w:rPr>
      </w:r>
    </w:p>
    <w:p w:rsidR="00000000" w:rsidDel="00000000" w:rsidP="00000000" w:rsidRDefault="00000000" w:rsidRPr="00000000" w14:paraId="0000020A">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Lakens, D., Scheel, A. M., &amp; Isager, P. M. (2018). Equivalence testing for psychological research: A tutorial. Advances in Methods and Practices in Psychological Science, 1(2), 259–269. https://doi.org/10.1177/2515245918770963</w:t>
      </w:r>
      <w:r w:rsidDel="00000000" w:rsidR="00000000" w:rsidRPr="00000000">
        <w:rPr>
          <w:rtl w:val="0"/>
        </w:rPr>
      </w:r>
    </w:p>
    <w:p w:rsidR="00000000" w:rsidDel="00000000" w:rsidP="00000000" w:rsidRDefault="00000000" w:rsidRPr="00000000" w14:paraId="0000020B">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Lall, S. (1992). Technological capabilities and industrialization. World Development, 20(2), 165–186. https://doi.org/10.1016/0305-750X(92)90097-F</w:t>
      </w:r>
      <w:r w:rsidDel="00000000" w:rsidR="00000000" w:rsidRPr="00000000">
        <w:rPr>
          <w:rtl w:val="0"/>
        </w:rPr>
      </w:r>
    </w:p>
    <w:p w:rsidR="00000000" w:rsidDel="00000000" w:rsidP="00000000" w:rsidRDefault="00000000" w:rsidRPr="00000000" w14:paraId="0000020C">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Lind, J. T., &amp; Mehlum, H. (2010). With or without U? The appropriate test for a U-shaped relationship. Oxford Bulletin of Economics and Statistics, 72(1), 109–118. https://doi.org/10.1111/j.1468-0084.2009.00569.x</w:t>
      </w:r>
      <w:r w:rsidDel="00000000" w:rsidR="00000000" w:rsidRPr="00000000">
        <w:rPr>
          <w:rtl w:val="0"/>
        </w:rPr>
      </w:r>
    </w:p>
    <w:p w:rsidR="00000000" w:rsidDel="00000000" w:rsidP="00000000" w:rsidRDefault="00000000" w:rsidRPr="00000000" w14:paraId="0000020D">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Lu, J. W., &amp; Beamish, P. W. (2004). International diversification and firm performance: The S-curve hypothesis. Academy of Management Journal, 47(4), 598–609. https://doi.org/10.5465/20159604</w:t>
      </w:r>
      <w:r w:rsidDel="00000000" w:rsidR="00000000" w:rsidRPr="00000000">
        <w:rPr>
          <w:rtl w:val="0"/>
        </w:rPr>
      </w:r>
    </w:p>
    <w:p w:rsidR="00000000" w:rsidDel="00000000" w:rsidP="00000000" w:rsidRDefault="00000000" w:rsidRPr="00000000" w14:paraId="0000020E">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MacKinnon, J. G., &amp; White, H. (1985). Some heteroskedasticity-consistent covariance matrix estimators with improved finite sample properties. Journal of Econometrics, 29(3), 305–325. https://doi.org/10.1016/0304-4076(85)90158-7</w:t>
      </w:r>
      <w:r w:rsidDel="00000000" w:rsidR="00000000" w:rsidRPr="00000000">
        <w:rPr>
          <w:rtl w:val="0"/>
        </w:rPr>
      </w:r>
    </w:p>
    <w:p w:rsidR="00000000" w:rsidDel="00000000" w:rsidP="00000000" w:rsidRDefault="00000000" w:rsidRPr="00000000" w14:paraId="0000020F">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Marano, V., Arregle, J.-L., Hitt, M. A., Spadafora, E., &amp; van Essen, M. (2016). Home country institutions and the internationalization-performance relationship: A meta-analytic review. Journal of Management, 42(5), 1075–1110. https://doi.org/10.1177/0149206315608961</w:t>
      </w:r>
      <w:r w:rsidDel="00000000" w:rsidR="00000000" w:rsidRPr="00000000">
        <w:rPr>
          <w:rtl w:val="0"/>
        </w:rPr>
      </w:r>
    </w:p>
    <w:p w:rsidR="00000000" w:rsidDel="00000000" w:rsidP="00000000" w:rsidRDefault="00000000" w:rsidRPr="00000000" w14:paraId="00000210">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Meyer, K. E., van Witteloostuijn, A., &amp; Beugelsdijk, S. (2017). What’s in a p? Reassessing best practices for conducting and reporting hypothesis-testing research. Journal of International Business Studies, 48(5), 535–551. https://doi.org/10.1057/s41267-017-0078-8</w:t>
      </w:r>
      <w:r w:rsidDel="00000000" w:rsidR="00000000" w:rsidRPr="00000000">
        <w:rPr>
          <w:rtl w:val="0"/>
        </w:rPr>
      </w:r>
    </w:p>
    <w:p w:rsidR="00000000" w:rsidDel="00000000" w:rsidP="00000000" w:rsidRDefault="00000000" w:rsidRPr="00000000" w14:paraId="00000211">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O'Brien, R. M. (2007). A caution regarding rules of thumb for variance inflation factors. Quality &amp; Quantity, 41(5), 673–690. https://doi.org/10.1007/s11135-006-9018-6</w:t>
      </w:r>
      <w:r w:rsidDel="00000000" w:rsidR="00000000" w:rsidRPr="00000000">
        <w:rPr>
          <w:rtl w:val="0"/>
        </w:rPr>
      </w:r>
    </w:p>
    <w:p w:rsidR="00000000" w:rsidDel="00000000" w:rsidP="00000000" w:rsidRDefault="00000000" w:rsidRPr="00000000" w14:paraId="00000212">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Peng, M. W. (2003). Institutional transitions and strategic choices. Academy of Management Review, 28(2), 275–296. https://doi.org/10.5465/amr.2003.9416341</w:t>
      </w:r>
      <w:r w:rsidDel="00000000" w:rsidR="00000000" w:rsidRPr="00000000">
        <w:rPr>
          <w:rtl w:val="0"/>
        </w:rPr>
      </w:r>
    </w:p>
    <w:p w:rsidR="00000000" w:rsidDel="00000000" w:rsidP="00000000" w:rsidRDefault="00000000" w:rsidRPr="00000000" w14:paraId="00000213">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Peng, M. W., Wang, D. Y. L., &amp; Jiang, Y. (2008). An institution-based view of international business strategy: A focus on emerging economies. Journal of International Business Studies, 39(5), 920–936. https://doi.org/10.1057/palgrave.jibs.8400377</w:t>
      </w:r>
      <w:r w:rsidDel="00000000" w:rsidR="00000000" w:rsidRPr="00000000">
        <w:rPr>
          <w:rtl w:val="0"/>
        </w:rPr>
      </w:r>
    </w:p>
    <w:p w:rsidR="00000000" w:rsidDel="00000000" w:rsidP="00000000" w:rsidRDefault="00000000" w:rsidRPr="00000000" w14:paraId="00000214">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Rugman, A. M., &amp; Verbeke, A. (2004). A perspective on regional and global strategies of multinational enterprises. Journal of International Business Studies, 35(1), 3–18. https://doi.org/10.1057/palgrave.jibs.8400073</w:t>
      </w:r>
      <w:r w:rsidDel="00000000" w:rsidR="00000000" w:rsidRPr="00000000">
        <w:rPr>
          <w:rtl w:val="0"/>
        </w:rPr>
      </w:r>
    </w:p>
    <w:p w:rsidR="00000000" w:rsidDel="00000000" w:rsidP="00000000" w:rsidRDefault="00000000" w:rsidRPr="00000000" w14:paraId="00000215">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Shaver, J. M. (2020). Causal identification through a cumulative body of research in the study of strategy and organizations. Journal of Management, 46(7), 1244–1256. https://doi.org/10.1177/0149206319846272</w:t>
      </w:r>
      <w:r w:rsidDel="00000000" w:rsidR="00000000" w:rsidRPr="00000000">
        <w:rPr>
          <w:rtl w:val="0"/>
        </w:rPr>
      </w:r>
    </w:p>
    <w:p w:rsidR="00000000" w:rsidDel="00000000" w:rsidP="00000000" w:rsidRDefault="00000000" w:rsidRPr="00000000" w14:paraId="00000216">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Stallkamp, M., &amp; Schotter, A. P. J. (2021). Platforms without borders? The international strategies of digital platform firms. Global Strategy Journal, 11(1), 58–80. https://doi.org/10.1002/gsj.1336</w:t>
      </w:r>
      <w:r w:rsidDel="00000000" w:rsidR="00000000" w:rsidRPr="00000000">
        <w:rPr>
          <w:rtl w:val="0"/>
        </w:rPr>
      </w:r>
    </w:p>
    <w:p w:rsidR="00000000" w:rsidDel="00000000" w:rsidP="00000000" w:rsidRDefault="00000000" w:rsidRPr="00000000" w14:paraId="00000217">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Verhoef, P. C., Broekhuizen, T., Bart, Y., Bhattacharya, A., Dong, J. Q., Fabian, N., &amp; Haenlein, M. (2021). Digital transformation: A multidisciplinary reflection and research agenda. Journal of Business Research, 122, 889–901. https://doi.org/10.1016/j.jbusres.2019.09.022</w:t>
      </w:r>
      <w:r w:rsidDel="00000000" w:rsidR="00000000" w:rsidRPr="00000000">
        <w:rPr>
          <w:rtl w:val="0"/>
        </w:rPr>
      </w:r>
    </w:p>
    <w:p w:rsidR="00000000" w:rsidDel="00000000" w:rsidP="00000000" w:rsidRDefault="00000000" w:rsidRPr="00000000" w14:paraId="00000218">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Wolfolds, S. E., &amp; Siegel, J. (2019). Misaccounting for endogeneity: The peril of relying on the Heckman two-step method without a valid instrument. Strategic Management Journal, 40(3), 432–462. https://doi.org/10.1002/smj.2995</w:t>
      </w:r>
      <w:r w:rsidDel="00000000" w:rsidR="00000000" w:rsidRPr="00000000">
        <w:rPr>
          <w:rtl w:val="0"/>
        </w:rPr>
      </w:r>
    </w:p>
    <w:p w:rsidR="00000000" w:rsidDel="00000000" w:rsidP="00000000" w:rsidRDefault="00000000" w:rsidRPr="00000000" w14:paraId="00000219">
      <w:pPr>
        <w:spacing w:after="60" w:line="360" w:lineRule="auto"/>
        <w:ind w:left="720" w:hanging="720"/>
        <w:jc w:val="left"/>
        <w:rPr/>
      </w:pPr>
      <w:r w:rsidDel="00000000" w:rsidR="00000000" w:rsidRPr="00000000">
        <w:rPr>
          <w:rFonts w:ascii="Times New Roman" w:cs="Times New Roman" w:eastAsia="Times New Roman" w:hAnsi="Times New Roman"/>
          <w:sz w:val="20"/>
          <w:szCs w:val="20"/>
          <w:rtl w:val="0"/>
        </w:rPr>
        <w:t xml:space="preserve">World Bank. (2024). World Bank Enterprise Survey: Singapore 2023. https://www.enterprisesurveys.org</w:t>
      </w: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jc w:val="center"/>
        <w:rPr/>
      </w:pPr>
      <w:r w:rsidDel="00000000" w:rsidR="00000000" w:rsidRPr="00000000">
        <w:rPr/>
        <w:drawing>
          <wp:inline distB="0" distT="0" distL="114300" distR="114300">
            <wp:extent cx="5029200" cy="335185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00" cy="3351857"/>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pPr>
      <w:r w:rsidDel="00000000" w:rsidR="00000000" w:rsidRPr="00000000">
        <w:rPr>
          <w:rFonts w:ascii="Cardo" w:cs="Cardo" w:eastAsia="Cardo" w:hAnsi="Cardo"/>
          <w:i w:val="1"/>
          <w:iCs w:val="1"/>
          <w:sz w:val="18"/>
          <w:szCs w:val="18"/>
          <w:rtl w:val="0"/>
        </w:rPr>
        <w:t xml:space="preserve">Figure 1. Conceptual model: Technological capability, digital adoption, and the internationalization–performance relationship. Solid arrows denote direct effects (H1, H3); dashed arrows denote moderation effects (H2, H4) and should be read as moderating the I–P relationship path (i.e., the FSTS→Performance link) rather than as direct antecedents of the FSTS construct itself.</w:t>
      </w: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jc w:val="center"/>
        <w:rPr/>
      </w:pPr>
      <w:r w:rsidDel="00000000" w:rsidR="00000000" w:rsidRPr="00000000">
        <w:rPr/>
        <w:drawing>
          <wp:inline distB="0" distT="0" distL="114300" distR="114300">
            <wp:extent cx="5029200" cy="35447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9200" cy="3544736"/>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i w:val="1"/>
          <w:iCs w:val="1"/>
          <w:sz w:val="18"/>
          <w:szCs w:val="18"/>
          <w:rtl w:val="0"/>
        </w:rPr>
        <w:t xml:space="preserve">Figure 2. Marginal effects of DAI across FSTS with 95% confidence interval bands.</w:t>
      </w:r>
      <w:r w:rsidDel="00000000" w:rsidR="00000000" w:rsidRPr="00000000">
        <w:rPr>
          <w:rtl w:val="0"/>
        </w:rPr>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jc w:val="center"/>
        <w:rPr/>
      </w:pPr>
      <w:r w:rsidDel="00000000" w:rsidR="00000000" w:rsidRPr="00000000">
        <w:rPr/>
        <w:drawing>
          <wp:inline distB="0" distT="0" distL="114300" distR="114300">
            <wp:extent cx="5029200" cy="354644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546449"/>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center"/>
        <w:rPr/>
      </w:pPr>
      <w:r w:rsidDel="00000000" w:rsidR="00000000" w:rsidRPr="00000000">
        <w:rPr>
          <w:rFonts w:ascii="Gungsuh" w:cs="Gungsuh" w:eastAsia="Gungsuh" w:hAnsi="Gungsuh"/>
          <w:i w:val="1"/>
          <w:iCs w:val="1"/>
          <w:sz w:val="18"/>
          <w:szCs w:val="18"/>
          <w:rtl w:val="0"/>
        </w:rPr>
        <w:t xml:space="preserve">Figure 3. Predicted internationalization–performance curve with 95% confidence band. Apparent turning point at FSTS ≈ 88.6% on the original uncentered scale (equivalent to ≈ 84% measured from the sample mean of FSTS) lies in the sparsely populated right tail of the export-intensity distribution and should be read as descriptive rather than as structurally identified. N = 623.</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