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theoretical frameworks for digital internationalization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 We grade each DAI indicator on the Verhoef et al. (2021) hierarchy: website presence (c22b) captures Tier 1 digitization, while electronic-payment intensity (k33, k38) captures Tier 2 digitalization. Our composite therefore measures the foundational digital layer upon which higher-order digital capabilities are constructed..</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performance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The TCI–productivity association in Singapore operates predominantly as a level-shift effect on the productivity intercept rather than as a curvature-shaping moderator of the internationalization–performance relationship.</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performance in Singapore on average, with the magnitude of this association expected to vary systematically with the firm’s internationalization intensity (formally tested in H4).</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performance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All firms in this single cross-section share the 2023 fiscal reference year; sales figures are therefore expressed in nominal 2023 Singapore dollars, with the intercept absorbing any uniform price-level scaling.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+3.464, SE = 0.902, p &lt; .001) and the quadratic FSTS² term is marginally negative (β = −2.059, SE = 1.082, p = .053). The implied apparent turning point lies at FSTS ≈ 84%, beyond most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(0.770)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(0.893)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2.972*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which restricts DAI to a single-indicator website-presence measure (c22b only), is intentionally constructed as a single-indicator website-presence measure to verify that the moderation pattern is not driven by the electronic-payment items in the DAI composite, following the construct-purity logic of separating TCI–DAI conceptual boundary that would arise from reliance on the electronic-payment indicators (k33, k38), thereby verifying that the moderation pattern is not driven by a single measurement component. The R1 result yields a weaker overall pattern than the baseline rich specification, but it preserves the same directional logic of conditional relevance, suggesting that the main result is not driven solely by the inclusion of electronic-payment indicators in the baseline DAI composite.</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(M7 → M8)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1.308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83%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Antonakis, J., Bendahan, S., Jacquart, P., &amp; Lalive, R. (2010). On making causal claims: A review and recommendations. The Leadership Quarterly, 21(6), 1086–1120. https://doi.org/10.1016/j.leaqua.2010.10.010</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Lakens, D., Scheel, A. M., &amp; Isager, P. M. (2018). Equivalence testing for psychological research: A tutorial. Advances in Methods and Practices in Psychological Science, 1(2), 259–269. https://doi.org/10.1177/2515245918770963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Meyer, K. E., van Witteloostuijn, A., &amp; Beugelsdijk, S. (2017). What’s in a p? Reassessing best practices for conducting and reporting hypothesis-testing research. Journal of International Business Studies, 48(5), 535–551. https://doi.org/10.1057/s41267-017-0078-8</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Shaver, J. M. (2020). Causal identification through a cumulative body of research in the study of strategy and organizations. Journal of Management, 46(7), 1244–1256. https://doi.org/10.1177/0149206319846272</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Wolfolds, S. E., &amp; Siegel, J. (2019). Misaccounting for endogeneity: The peril of relying on the Heckman two-step method without a valid instrument. Strategic Management Journal, 40(3), 432–462. https://doi.org/10.1002/smj.2995</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Apparent turning point at FSTS ≈ 83% lies in the sparsely populated right tail of the export-intensity distribution and should be read as descriptive rather than as structurally identified.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