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v4.5.3 — submission-ready manuscript (Vietnam, three-wave lifecycle)</w:t>
      </w:r>
    </w:p>
    <w:p>
      <w:pPr>
        <w:pStyle w:val="Date"/>
      </w:pPr>
      <w:r>
        <w:t>2026-05-01</w:t>
      </w:r>
    </w:p>
    <w:p>
      <w:pPr>
        <w:pStyle w:val="Author"/>
      </w:pPr>
      <w:r>
        <w:t>[Author 1, corresponding]</w:t>
      </w:r>
    </w:p>
    <w:p>
      <w:pPr>
        <w:pStyle w:val="BodyText"/>
      </w:pPr>
      <w:r>
        <w:t>[Department], [University / Institute], [City], [Country]. E-mail: [author1@example.org]. ORCID: [0000-0000-0000-0000].</w:t>
      </w:r>
    </w:p>
    <w:p>
      <w:pPr>
        <w:pStyle w:val="Author"/>
      </w:pPr>
      <w:r>
        <w:t>[Author 2]</w:t>
      </w:r>
    </w:p>
    <w:p>
      <w:pPr>
        <w:pStyle w:val="BodyText"/>
      </w:pPr>
      <w:r>
        <w:t>[Department], [University / Institute], [City], [Country]. E-mail: [author2@example.org]. ORCID: [0000-0000-0000-0000].</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we distinguish a Technological Capability Index (TCI_z) from a Digital Adoption Index (DAI_z) and evaluate their roles in both pooled and wave-specific OLS specifications with HC1 robust covariance. The findings indicate that the internationalisation–performance relationship is nonlinear in the pooled evidence and is especially visible in the later waves. In the pooled full model, both TCI_z and DAI_z are positively associated with firm performance, indicating that both deeper capability stocks and foundational digital adoption are beneficial on average. However, the wave-specific evidence reveals substantial temporal heterogeneity: both TCI and DAI are strongly positive in 2009, lose salience in 2015, and re-emerge in 2023, when digital adoption also becomes more tightly connected to export intensity.</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From an applied perspective, the results imply that policy and managerial investments aimed at digitalisation should be calibrated to the firm’s position along the export-intensity distribution and to the broader phase of economic transition in which the firm operates. Treating digital adoption as a uniform productivity lever risks mismeasuring its real contribution and misallocating capability-upgrading effort across firms and over time.</w:t>
      </w:r>
    </w:p>
    <w:p>
      <w:pPr>
        <w:pStyle w:val="BodyText"/>
      </w:pPr>
      <w:r>
        <w:t>Keywords: internationalisation–performance relationship; digital adoption; technological capability; Vietnam; firm performance; lifecycle heterogeneity.</w:t>
      </w:r>
    </w:p>
    <w:p>
      <w:pPr>
        <w:pStyle w:val="BodyText"/>
      </w:pPr>
      <w:r>
        <w:t>JEL classification: F23 (multinational firms; international business); O33 (technological change: choices and consequences; diffusion processes); D22 (firm behavior: empirical analysis); L25 (firm performance: size, diversification, and scope); O53 (economywide country studies — Asia including Middle East).</w:t>
      </w:r>
    </w:p>
    <w:p>
      <w:pPr>
        <w:pStyle w:val="Heading1"/>
      </w:pPr>
      <w:r>
        <w:t>Highlights</w:t>
      </w:r>
    </w:p>
    <w:p>
      <w:pPr>
        <w:pStyle w:val="FirstParagraph"/>
      </w:pPr>
      <w:r>
        <w:t>• The internationalisation–performance relationship in Vietnam is nonlinear and most clearly visible in the 2015 and 2023 waves and the pooled sample.</w:t>
      </w:r>
    </w:p>
    <w:p>
      <w:pPr>
        <w:pStyle w:val="BodyText"/>
      </w:pPr>
      <w:r>
        <w:t>• Technological capability and foundational digital adoption show different empirical signatures and should not be treated as a single construct.</w:t>
      </w:r>
    </w:p>
    <w:p>
      <w:pPr>
        <w:pStyle w:val="BodyText"/>
      </w:pPr>
      <w:r>
        <w:t>• Both capability dimensions are positive on average but their salience varies sharply across the 2009 / 2015 / 2023 lifecycle.</w:t>
      </w:r>
    </w:p>
    <w:p>
      <w:pPr>
        <w:pStyle w:val="BodyText"/>
      </w:pPr>
      <w:r>
        <w:t>• In 2023, foundational digital adoption becomes more conditional on export intensity (FSTS_c × DAI_z = −1.072, p = .050).</w:t>
      </w:r>
    </w:p>
    <w:p>
      <w:pPr>
        <w:pStyle w:val="BodyText"/>
      </w:pPr>
      <w:r>
        <w:t>• Pooled average effects mask substantial wave-specific heterogeneity, with implications for the design and evaluation of digital-economy policy in transitional economies.</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&amp;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977 observations for 2009, 964 for 2015, and 1,013 for 2023. The pooled full model contains 2,954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Outcome lnLP = ln(d2 / l1) where d2 is total annual sales and l1 is permanent full-time employees. Internationalisation FSTS = d3c / 100, mean-centred within wave (FSTS_c) and squared (FSTS_c²). TCI_thin is the within-wave mean of b8 (internationally recognised quality certification) and e6 (foreign-licensed technology) recoded from WBES 1/2 to 1/0 binary indicators, then z-standardised within wave to give TCI_z. DAI_thin is the within-wave mean of c22b (own website) and e6, constructed identically to give DAI_z. The two composites share e6 by virtue of overlapping coverage in the WBES instrument; this overlap is documented in §4.5 and the substantive findings are robust to alternative composites that exclude the shared item.</w:t>
      </w:r>
    </w:p>
    <w:p>
      <w:pPr>
        <w:pStyle w:val="BodyText"/>
      </w:pPr>
      <w:r>
        <w:t>Two enriched composites are used in the §4.5 robustness panel where item availability allows. TCI_full adds h1 (introduced new or significantly improved product) and h8 (R&amp;D expenditure indicator) to the TCI_thin items; this richer composite is constructed for the 2015 and 2023 waves where h1 and h8 are present. DAI_rich adds k33 (sales received via electronic payment) and k38 (supplier payments via electronic payment) to the DAI_thin items, in both continuous (k33/100, k38/100) and binary (k33 &gt; 0, k38 &gt; 0) variants; this richer composite is constructed for the 2023 wave only because the payment items are not present in the earlier releases.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977, 964, and 1,013 observations for 2009, 2015, and 2023 respectively; pooled N is 2,954.</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Heading2"/>
      </w:pPr>
      <w:r>
        <w:t>4.1 Wave-specific findings</w:t>
      </w:r>
    </w:p>
    <w:p>
      <w:pPr>
        <w:pStyle w:val="FirstParagraph"/>
      </w:pPr>
      <w:r>
        <w:t>The wave-specific evidence reveals clear temporal heterogeneity. In 2009, both capability constructs are strongly and positively associated with performance. In the full 2009 model, TCI_z is positive and highly significant (β = 0.274, p &lt; .001), and DAI_z is also positive and highly significant (β = 0.210, p &lt; .001). However, the interaction terms involving DAI_z are not significant in that wave. This indicates that, in the earlier phase, both technological capability and foundational digital adoption operate primarily as direct performance-enhancing resources rather than as robust moderators of the I–P relationship.</w:t>
      </w:r>
    </w:p>
    <w:p>
      <w:pPr>
        <w:pStyle w:val="BodyText"/>
      </w:pPr>
      <w:r>
        <w:t>The 2015 wave shows a different configuration. The I–P relationship becomes more clearly nonlinear in that period: in the full model, the linear FSTS_c term is positive and significant (β = 1.653, p = .041), while the quadratic FSTS_c² term is negative and significant (β = −2.175, p = .010). At the same time, both capability measures lose direct salience. TCI_z becomes statistically insignificant (β = 0.071, p = .297), and DAI_z is likewise insignificant (β = 0.006, p = .928). The interaction terms involving DAI_z also remain insignificant. This suggests a transitional phase in which export intensity matters, but the performance payoff from capability variables becomes more muted.</w:t>
      </w:r>
    </w:p>
    <w:p>
      <w:pPr>
        <w:pStyle w:val="BodyText"/>
      </w:pPr>
      <w:r>
        <w:t>The 2023 evidence reveals another shift. The nonlinear structure remains visible, with a positive linear FSTS_c term (β = 1.338, p = .112) and a negative quadratic FSTS_c² term that is statistically significant (β = −1.942, p = .023). More importantly, both capability measures regain direct significance: TCI_z is positive (β = 0.140, p = .013) and DAI_z is positive (β = 0.161, p = .012). In addition, the linear interaction between FSTS_c and DAI_z is negative and reaches the conventional significance threshold (β = −1.072, p = .050), suggesting that the performance relevance of digital adoption becomes more conditional on export intensity in the later wave.</w:t>
      </w:r>
    </w:p>
    <w:p>
      <w:pPr>
        <w:pStyle w:val="BodyText"/>
      </w:pPr>
      <w:r>
        <w:t>Taken together, the wave-specific results suggest a lifecycle pattern rather than a stable cross-period rule. The direct payoff from both TCI_z and DAI_z is strong in 2009, weak in 2015, and positive again in 2023, with digital adoption becoming more conditional in the later wave.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export expansion continued but the productivity payoff from capability resources compressed: the curvature of the I–P relationship became visible precisely when the direct returns to TCI_z and DAI_z faded, suggesting that the firms added to the exporter cohort during this period derived their productivity gains primarily from scale rather than from capability differentiation. The 2023 wave captures a re-emergence: the post-NDTP digital infrastructure makes foundational digital adoption complementary to internal capability stocks again, and the negative FSTS_c × DAI_z interaction shows that this complementarity is concentrated at higher export intensity rather than uniformly distributed across the export-intensity range.</w:t>
      </w:r>
    </w:p>
    <w:p>
      <w:pPr>
        <w:pStyle w:val="Heading2"/>
      </w:pPr>
      <w:r>
        <w:t>4.2 Pooled findings</w:t>
      </w:r>
    </w:p>
    <w:p>
      <w:pPr>
        <w:pStyle w:val="FirstParagraph"/>
      </w:pPr>
      <w:r>
        <w:t>The pooled results confirm that the I–P relationship is nonlinear on average. In the pooled nonlinear model, the linear FSTS_c term is positive and significant (β = 1.207, p = .003), while the quadratic FSTS_c² term is negative and significant (β = −1.714, p &lt; .001). This pattern remains in the pooled full model, where the linear term is positive (β = 1.036, p = .023) and the quadratic term remains negative and significant (β = −1.487, p = .002). This supports H1 and aligns with the broader nonlinear logic emphasised in prior international business research (Marano et al., 2016).</w:t>
      </w:r>
    </w:p>
    <w:p>
      <w:pPr>
        <w:pStyle w:val="BodyText"/>
      </w:pPr>
      <w:r>
        <w:t>The pooled evidence also shows that both capability dimensions are positively associated with firm performance on average. In the pooled full model, TCI_z is positive and statistically significant (β = 0.138, p &lt; .001), and DAI_z is also positive and statistically significant (β = 0.125, p &lt; .001). These estimates indicate that, when averaged across waves, both deeper technological capability and foundational digital adoption are performance enhancing, supporting H2 and H3.</w:t>
      </w:r>
    </w:p>
    <w:p>
      <w:pPr>
        <w:pStyle w:val="BodyText"/>
      </w:pPr>
      <w:r>
        <w:t>The pooled interaction terms involving DAI_z, however, are not statistically significant. The linear interaction between FSTS_c and DAI_z is negative but insignificant (β = −0.573, p = .170), and the quadratic interaction is positive but insignificant (β = 0.460, p = .298). This matters because it shows that the pooled average should not be interpreted as evidence of a stable moderation effect across time. Instead, the pooled model masks meaningful stage-specific heterogeneity.</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supported because the pooled evidence indicates a nonlinear relationship between internationalisation and firm performance, and the later waves display the same logic more clearly. H2 is supported because TCI_z is positively associated with performance in the pooled evidence and in two of the three wave-specific periods. H3 is also supported because DAI_z is positively associated with performance on average and in two of the three waves.</w:t>
      </w:r>
    </w:p>
    <w:p>
      <w:pPr>
        <w:pStyle w:val="BodyText"/>
      </w:pPr>
      <w:r>
        <w:t>H4 receives partial but meaningful support. The pooled interaction terms do not indicate a stable conditional role for DAI_z across all periods. However, the wave-specific analysis shows that the role of DAI_z changes over time and becomes more conditionally linked to export intensity in 2023. This is consistent with the broader claim that digital capability is stage contingent rather than uniformly valuable in the same way across all phases.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 full model</w:t>
            </w:r>
          </w:p>
        </w:tc>
        <w:tc>
          <w:tcPr>
            <w:tcW w:type="dxa" w:w="1872"/>
          </w:tcPr>
          <w:p>
            <w:r>
              <w:t>Not clearly supported in full model</w:t>
            </w:r>
          </w:p>
        </w:tc>
        <w:tc>
          <w:tcPr>
            <w:tcW w:type="dxa" w:w="1872"/>
          </w:tcPr>
          <w:p>
            <w:r>
              <w:t>0.274 (p &lt; .001)</w:t>
            </w:r>
          </w:p>
        </w:tc>
        <w:tc>
          <w:tcPr>
            <w:tcW w:type="dxa" w:w="1872"/>
          </w:tcPr>
          <w:p>
            <w:r>
              <w:t>0.210 (p &lt; .001)</w:t>
            </w:r>
          </w:p>
        </w:tc>
        <w:tc>
          <w:tcPr>
            <w:tcW w:type="dxa" w:w="1872"/>
          </w:tcPr>
          <w:p>
            <w:r>
              <w:t>Not significant</w:t>
            </w:r>
          </w:p>
        </w:tc>
      </w:tr>
      <w:tr>
        <w:tc>
          <w:tcPr>
            <w:tcW w:type="dxa" w:w="1872"/>
          </w:tcPr>
          <w:p>
            <w:r>
              <w:t>2015 full model</w:t>
            </w:r>
          </w:p>
        </w:tc>
        <w:tc>
          <w:tcPr>
            <w:tcW w:type="dxa" w:w="1872"/>
          </w:tcPr>
          <w:p>
            <w:r>
              <w:t>FSTS_c positive (1.653, p = .041); FSTS_c² negative (−2.175, p = .010)</w:t>
            </w:r>
          </w:p>
        </w:tc>
        <w:tc>
          <w:tcPr>
            <w:tcW w:type="dxa" w:w="1872"/>
          </w:tcPr>
          <w:p>
            <w:r>
              <w:t>0.071 (p = .297) n.s.</w:t>
            </w:r>
          </w:p>
        </w:tc>
        <w:tc>
          <w:tcPr>
            <w:tcW w:type="dxa" w:w="1872"/>
          </w:tcPr>
          <w:p>
            <w:r>
              <w:t>0.006 (p = .928) n.s.</w:t>
            </w:r>
          </w:p>
        </w:tc>
        <w:tc>
          <w:tcPr>
            <w:tcW w:type="dxa" w:w="1872"/>
          </w:tcPr>
          <w:p>
            <w:r>
              <w:t>Not significant</w:t>
            </w:r>
          </w:p>
        </w:tc>
      </w:tr>
      <w:tr>
        <w:tc>
          <w:tcPr>
            <w:tcW w:type="dxa" w:w="1872"/>
          </w:tcPr>
          <w:p>
            <w:r>
              <w:t>2023 full model</w:t>
            </w:r>
          </w:p>
        </w:tc>
        <w:tc>
          <w:tcPr>
            <w:tcW w:type="dxa" w:w="1872"/>
          </w:tcPr>
          <w:p>
            <w:r>
              <w:t>FSTS_c² negative and significant (−1.942, p = .023)</w:t>
            </w:r>
          </w:p>
        </w:tc>
        <w:tc>
          <w:tcPr>
            <w:tcW w:type="dxa" w:w="1872"/>
          </w:tcPr>
          <w:p>
            <w:r>
              <w:t>0.140 (p = .013)</w:t>
            </w:r>
          </w:p>
        </w:tc>
        <w:tc>
          <w:tcPr>
            <w:tcW w:type="dxa" w:w="1872"/>
          </w:tcPr>
          <w:p>
            <w:r>
              <w:t>0.161 (p = .012)</w:t>
            </w:r>
          </w:p>
        </w:tc>
        <w:tc>
          <w:tcPr>
            <w:tcW w:type="dxa" w:w="1872"/>
          </w:tcPr>
          <w:p>
            <w:r>
              <w:t>FSTS_c × DAI_z = −1.072 (p = .050)</w:t>
            </w:r>
          </w:p>
        </w:tc>
      </w:tr>
      <w:tr>
        <w:tc>
          <w:tcPr>
            <w:tcW w:type="dxa" w:w="1872"/>
          </w:tcPr>
          <w:p>
            <w:r>
              <w:t>Pooled full model</w:t>
            </w:r>
          </w:p>
        </w:tc>
        <w:tc>
          <w:tcPr>
            <w:tcW w:type="dxa" w:w="1872"/>
          </w:tcPr>
          <w:p>
            <w:r>
              <w:t>FSTS_c positive (1.036, p = .023); FSTS_c² negative (−1.487, p = .002)</w:t>
            </w:r>
          </w:p>
        </w:tc>
        <w:tc>
          <w:tcPr>
            <w:tcW w:type="dxa" w:w="1872"/>
          </w:tcPr>
          <w:p>
            <w:r>
              <w:t>0.138 (p &lt; .001)</w:t>
            </w:r>
          </w:p>
        </w:tc>
        <w:tc>
          <w:tcPr>
            <w:tcW w:type="dxa" w:w="1872"/>
          </w:tcPr>
          <w:p>
            <w:r>
              <w:t>0.125 (p &lt; .001)</w:t>
            </w:r>
          </w:p>
        </w:tc>
        <w:tc>
          <w:tcPr>
            <w:tcW w:type="dxa" w:w="1872"/>
          </w:tcPr>
          <w:p>
            <w:r>
              <w:t>Not significant</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The substantive findings survive the standard robustness checks distributed with the replication package. First, replacing the broad ISIC sector fixed effects with two-digit ISIC fixed effects shifts the focal coefficients within sampling error and leaves the H1, H2, and H3 inferences unchanged in the pooled sample. Second, excluding micro-firms with fewer than ten permanent employees moves the pooled inverted-U coefficients by at most a few percentage points and does not alter the sign or significance of any focal term.</w:t>
      </w:r>
    </w:p>
    <w:p>
      <w:pPr>
        <w:pStyle w:val="BodyText"/>
      </w:pPr>
      <w:r>
        <w:t>Third, an enriched TCI_full composite that adds product-innovation and R&amp;D indicators to b8 (quality certification) and e6 (foreign-licensed technology) is constructed for the 2015 and 2023 waves where those items are available. The TCI_full coefficient remains positive and the substantive direction is preserved, although the size of the direct association is attenuated when the broader composite is used. Fourth, an enriched DAI_rich composite that adds customer-side and supplier-side electronic-payment intensity is constructed for the 2023 wave only, because the payment items are not present in the earlier releases. The DAI_rich estimates confirm the wave-2023 pattern: foundational digital adoption matters, and its conditional relevance to export intensity is not an artefact of the website-only thin specification.</w:t>
      </w:r>
    </w:p>
    <w:p>
      <w:pPr>
        <w:pStyle w:val="BodyText"/>
      </w:pPr>
      <w:r>
        <w:t>Finally, sample-selection probes apply a manual Heckman two-step using the WBES sampling region as the exclusion restriction in the export-participation probit, and a complementary control-function specification using the generalised residual from the same probit. The inverse Mills ratio and the control-function residual are not statistically significant in any of the four panels, and re-estimating the outcome equation conditional on either correction leaves the focal coefficients within the original confidence intervals. The Paternoster (1998) cross-wave z-tests indicate that the apparent attenuation of TCI_z between 2009 and 2023 is at the margin of conventional significance, while the DAI_z and FSTS curvature differences across waves are not statistically distinguishable in their pairwise comparisons.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the cross-wave comparisons are descriptive: the Paternoster (1998) z-tests indicate which differences across waves are statistically distinguishable but do not identify the institutional or compositional mechanisms that drive the shift between the 2009, 2015, and 2023 patterns. Future work could exploit policy timing (for example, Vietnam’s National Digital Transformation Programme launched in 2020) for sharper identification of the digital channel.</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[Author 1]: conceptualisation; methodology; formal analysis; data curation; writing — original draft; writing — review and editing; visualisation; project administration. [Author 2]: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pPr>
        <w:pStyle w:val="FirstParagraph"/>
      </w:pPr>
      <w:r>
        <w:t>Figure 1. Conceptual model. Boxes: FSTS_c, FSTS_c², TCI_z, DAI_z, controls (lnEmp, FirmAge, ForeignOwned), sector fixed effects, wave fixed effects, lnLP. Arrows: H1 (FSTS_c, FSTS_c² → lnLP curvature), H2 (TCI_z → lnLP level), H3 (DAI_z → lnLP level), H4 (FSTS_c × DAI_z, FSTS_c² × DAI_z → lnLP curvature shift, sign treated as an empirical question that varies across waves).</w:t>
      </w:r>
    </w:p>
    <w:p>
      <w:pPr>
        <w:pStyle w:val="BodyText"/>
      </w:pPr>
      <w:r>
        <w:t>Figure 2. Predicted lnLP across direct-export intensity by wave and pooled. Each panel plots the OLS HC1 fitted curve for one wave (2009, 2015, 2023) or the pooled sample, holding the controls at within-wave means; the shaded band is the 95% confidence interval for the predicted mean; the vertical dashed line marks the turning-point point estimate on the raw FSTS scale.</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Heckman, J. J. (1979). Sample selection bias as a specification error. Econometrica, 47(1), 153–161. https://doi.org/10.2307/1912352</w:t>
      </w:r>
    </w:p>
    <w:p>
      <w:pPr>
        <w:pStyle w:val="BodyText"/>
      </w:pPr>
      <w:r>
        <w:t>Lall, S. (1992). Technological capabilities and industrialization. World Development, 20(2), 165–186.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