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export intensity; labour productivity;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Whether technological capability (TCI) also moderates the internationalization–performance relationship is treated as an open empirical question and assessed in a supplementary specification rather than as a hypothesized moderation channel.</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may improve firm performance through faster information flows, lower transaction frictions, and more efficient digital exchange, but such benefits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rather than uniform across firms.</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4 (H4). The association between digital adoption (DAI) and firm performance becomes more positive at higher levels of export intensity in Singapore.</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In this setting, foundational digital adoption is better interpreted as a conditional scaling resource whose productivity relevance becomes more visible at higher export intensity, while remaining weak or statistically indistinct across much of the distribution.</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improves the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contribution here is thus not to establish a universal digitalization mechanism, but to clarify that foundational digital adoption and technological capability are analytically distinct and empirically associated with performance in different ways within this setting.</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