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but does not moderate the curvature of the internationalization–performance relationship. The baseline internationalization–performance pattern is best characterized as primarily monotonic with mild quadratic curvature within the observed export-intensity range, with no formal support for a conventional inverted-U. DAI, by contrast,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productivity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empirical work on digital internationalization has either pooled firms across heterogeneous institutional contexts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measurement and should not be combined into a single composite.</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Technological capability (TCI) does not moderate the curvature of the internationalization–performance relationship in Singapore.</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At the digital frontier, where cross-border digital infrastructure is mature, these productivity returns should be readily realized at the direct effect level, even before considering interactions with internationalization intensity.</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productivity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 association with firm productivity (H1 and H3). TCI is hypothesized to raise the productivity intercept without reshaping the I–P curvature (H2), whereas DAI is hypothesized to interact with export intensity such that its productivity association strengthens at higher levels of FSTS (H4).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Labour productivity is measured as ln(annual sales / full-time employees), constructed from WBES items d2 (annual sales) and l1 (full-time employees), following Krammer et al. (2018). Annual sales are deflated using the 2023 reference and expressed in constant Singapore dollars.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and foreign-ownership status (binary, derived from WBES item b2b indicating ≥ 10% foreign equity).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associational rather than causal. The cross-sectional WBES Singapore 2023 design cannot rule out reverse causation or omitted-variable bias. Highly productive firms may be more likely to invest in digital infrastructure and to expand into international markets, which would induce a positive association between digital adoption, export intensity, and labour productivity even in the absence of a productivity-enhancing causal channel. We therefore use the language of "association" and "consistency with" throughout the manuscript and restrict our interpretive scope to firm-level patterns observed in this single cross-section. We discuss these limitations more fully in Section 6.</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+3.490, SE = 0.903, p &lt; .001) and the quadratic FSTS² term is marginally negative (β = −2.103, SE = 1.087, p = .053). The implied apparent turning point lies at FSTS ≈ 83%, beyond most of the empirical FSTS distribution (the 99th percentile of FSTS in the sample is approximately 90%). The Lind and Mehlum (2010) joint U-test fails to reject the null of monotonicity (p = .301). Following Haans et al. (2016), we therefore characterize the I–P relationship as primarily monotonic positive with mild quadratic curvature rather than as a confirmed inverted-U. This finding qualifies the modal inverted-U pattern documented in earlier I–P literature (Marano et al., 2016) within the specific context of a digital-frontier economy: when cross-border coordination costs have been substantially attenuated by mature digital infrastructure, the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supporting H2. TCI raises the productivity intercept regardless of internationalization stage but does not shift the I–P curvature,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0.114, SE = 0.038, p = .002), supporting H3 and indicating that a one-standard-deviation increase in digital adoption is associated with a 0.114 increase in ln(labour productivity), approximately equivalent to an 11.4% increase. When both TCI and DAI are included as direct effects in Model M7, the DAI coefficient attenuates to marginal significance (β_z = 0.073, p = .057), suggesting partial overlap in the explanatory space captured by the two constructs.</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3.490***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607) = 3.38, p = .035), and in the full Model M8 the quadratic interaction term remains positive and significant (FSTS² × DAI: β_z = +3.023, SE = 1.309, p = .021).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+0.660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+1.818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+0.660, p = .041; FSTS = 100%: β = +1.818,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60" w:line="480" w:lineRule="auto"/>
        <w:jc w:val="center"/>
      </w:pPr>
      <w:r>
        <w:rPr>
          <w:rFonts w:ascii="Times New Roman" w:cs="Times New Roman" w:eastAsia="Times New Roman" w:hAnsi="Times New Roman"/>
          <w:i/>
          <w:iCs/>
          <w:sz w:val="18"/>
          <w:szCs w:val="18"/>
        </w:rPr>
        <w:t xml:space="preserve">[ — Marginal effects of DAI across FSTS with 95% CI bands]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60" w:line="480" w:lineRule="auto"/>
        <w:jc w:val="center"/>
      </w:pPr>
      <w:r>
        <w:rPr>
          <w:rFonts w:ascii="Times New Roman" w:cs="Times New Roman" w:eastAsia="Times New Roman" w:hAnsi="Times New Roman"/>
          <w:i/>
          <w:iCs/>
          <w:sz w:val="18"/>
          <w:szCs w:val="18"/>
        </w:rPr>
        <w:t xml:space="preserve">[ — Predicted I–P curve with 95% confidence band]</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alternative DAI-thin specification yields a weaker overall pattern than the baseline rich specification, but it preserves the same directional logic of conditional relevance, suggesting that the main result is not driven solely by one particular operationalization of digital adoption.</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For the exporters-only subsample, however, the estimates are less stable and should be interpreted cautiously because Singapore's exporter subsample is relatively small and the right tail of export intensity is thin.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(M5 → M6)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3.451*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3.476**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 foreign technology only, omitting electronic-payment indicator k33) for DAI_rich.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caution in interpreting the findings. First, the analysis is cross-sectional and therefore supports associational rather than causal inference. While the results are consistent with the proposed theoretical arguments, reverse causality and omitted-variable bias cannot be fully ruled out. Highly productive firms may be more likely to invest in digital infrastructure and to expand into international markets, generating a positive association between digital adoption, export intensity, and labour productivity even absent a productivity-enhancing causal channel. Future research using firm-level panel data — should such data become available — would help disentangle selection from causation.</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Although the scale-enabling-complement finding (FSTS &gt; 70%) is statistically significant in the present sample, replication on larger samples of high-intensity exporters from comparable digital-frontier economies would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Future research should examine whether the same pattern appears in other digitally mature economies (e.g., Hong Kong, South Korea, Taiwan) and under richer measures of digital adoption beyond the WBES B-READY items.</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TP = 83%.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