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in a Digital-Frontier Economy: Evidence From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a digital-frontier economy. Using World Bank Enterprise Survey microdata for Singapore 2023 (N = 623), the analysis develops a two-construct measurement architecture that distinguishes a Technological Capability Index (TCI) from a Digital Adoption Index (DAI). TCI captures firm-internal capability depth in innovation, learning, and operational mastery, whereas DAI captures firms’ uptake of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The results show that TCI is positively associated with labour productivity and operates primarily as a level-shift effect on the productivity intercept rather than as a curvature-shaping moderator. The baseline internationalization–performance pattern is best characterized as predominantly monotonic positive with mild quadratic curvature within the observed export-intensity range; although the fitted curve implies a turning point at very high export intensity, formal statistical support for a conventional inverted-U is not established. DAI shows conditional rather than universal relevance: its productivity association becomes more positive at higher levels of export intensity, with the strongest evidence concentrated in the high-export tail. These findings refine the boundary conditions of the internationalization–performance literature by suggesting that, in a digitally mature institutional environment, the classic right-side decline of the curve may be attenuated or shifted toward sparsely populated levels of export intensity. The study also contributes sharper construct validity by distinguishing technological capability from foundational digital adoption and by showing that digital adoption in a digital-frontier economy is better understood as a scale-enabling complement than as a uniform firm-level productivity premium.</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digital-frontier environments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digital-frontier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2 (H2). </w:t>
      </w:r>
      <w:r>
        <w:rPr>
          <w:rFonts w:ascii="Times New Roman" w:cs="Times New Roman" w:eastAsia="Times New Roman" w:hAnsi="Times New Roman"/>
          <w:i w:val="1"/>
          <w:iCs w:val="1"/>
          <w:sz w:val="20"/>
          <w:szCs w:val="20"/>
          <w:rtl w:val="0"/>
        </w:rPr>
        <w:t xml:space="preserve">The TCI–productivity association in Singapore operates predominantly as a level-shift effect on the productivity intercept rather than as a curvature-shaping moderator of the internationalization–performance relationship.</w:t>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At the digital frontier,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3 (H3). </w:t>
      </w:r>
      <w:r>
        <w:rPr>
          <w:rFonts w:ascii="Times New Roman" w:cs="Times New Roman" w:eastAsia="Times New Roman" w:hAnsi="Times New Roman"/>
          <w:i w:val="1"/>
          <w:iCs w:val="1"/>
          <w:sz w:val="20"/>
          <w:szCs w:val="20"/>
          <w:rtl w:val="0"/>
        </w:rPr>
        <w:t xml:space="preserve">Digital adoption (DAI) is positively associated with firm performance in Singapore on average, with the magnitude of this association expected to vary systematically with the firm’s internationalization intensity (formally tested in H4).</w:t>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 xml:space="preserve">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digital-frontier institutional environment as the relevant boundary condition.</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2.652, SE = 0.691, p &lt; .001), while the squared FSTS term is negative and only marginally significant (β = −1.705, SE = 0.931, p = .067). The fitted curve therefore implies a turning point at very high export intensity, around FSTS 82.4 on the original scale, but that point lies in a sparsely populated upper tail of the distribution. Because only a small fraction of the sample occupies that upper region, the implied turning point should be treated as descriptive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.303.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digital-frontier environment,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Although the fitted curve implies a turning point at FSTS 82.4, that point lies in a sparsely populated upper tail of the sample and is not supported by the formal Lind–Mehlum test as evidence of a confirmed inverted-U. The appropriate interpretation is therefore not that the classic nonlinear literature is overturned, but that in a digital-frontier institutional environment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 xml:space="preserve">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 xml:space="preserve">0.187***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 xml:space="preserve">2.972*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 xml:space="preserve">3.28 (.039)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 xml:space="preserve">0.192</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 xml:space="preserve">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 xml:space="preserve">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 xml:space="preserve">0.211***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 xml:space="preserve">1.563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 xml:space="preserve">0.95 (.388)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 xml:space="preserve">0.184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 xml:space="preserve">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 xml:space="preserve">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 xml:space="preserve">0.171***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 xml:space="preserve">2.749*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 xml:space="preserve">2.97 (.052)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 xml:space="preserve">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 xml:space="preserve">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 xml:space="preserve">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 xml:space="preserve">0.218***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 xml:space="preserve">3.535*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 xml:space="preserve">4.64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 xml:space="preserve">0.226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 xml:space="preserve">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 xml:space="preserve">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 xml:space="preserve">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 xml:space="preserve">3.483**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 xml:space="preserve">3.81 (.023)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 xml:space="preserve">0.197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 xml:space="preserve">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 xml:space="preserve">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 xml:space="preserve">0.143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 xml:space="preserve">1.308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 xml:space="preserve">3.18 (.048)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 xml:space="preserve">0.140</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digital-frontier institutional environment,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digital-frontier institutional environments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digital-frontier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digital-frontier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digital-frontier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digital-frontier environments,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cross-sectional,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restrict interpretation to a boundary-condition claim—that the I–P curvature and the marginal value of digital adoption appear systematically conditional on export intensity in a digital-frontier setting—while leaving causal identification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present sample contains a thin right tail of high-intensity exporters, with only 18% of firms reporting non-zero exports and only 3% exceeding 50% export intensity. This constrains statistical precision exactly where the moderation effect is theoretically most relevant and suggests caution in generalizing from the upper end of the export distribution. Two specific consequences follow. First, the apparent quadratic turning point of the I–P curve at FSTS 82.4 on the original uncentered scale is identified primarily from a sparsely populated region of the FSTS distribution and should therefore be treated as a within-sample descriptive feature rather than as a structurally identified inflection. Second, the DAI moderation pattern in Table 4 attains conventional significance only at FSTS 70 and FSTS 100, and the exporters-only subsample in Table 3 yields a substantially lower adjusted R² than the full-sample specifications. The scale-enabling-complement finding is therefore best characterized as suggestive evidence consistent with a digital-frontier boundary condition rather than as a structurally identified universal pattern. Replication on larger samples of high-intensity exporters from comparable digital-frontier economies, where the right tail of FSTS is denser and support-aware diagnostics can be applied more powerfully, would substantially strengthen the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The findings should therefore be treated as an initial firm-level test of a digital-frontier argument rather than as definitive evidence of a generalized boundary condition. The DAI indicators available in WBES 2023 capture Tier 1–2 digital adoption—digital presence and digital transaction usage—rather than Tier 3–4 digital capability or digital dynamic capability.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 These designs would directly test whether the boundary condition documented here—namely, that digital adoption operates as a scale-enabling complement at high export intensity in digital-frontier settings—is causally generated rather than reflecting selection on unobserved firm-level performance heterogeneity.</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digital-frontier institutional environment.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