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360" w:lineRule="auto"/>
        <w:jc w:val="center"/>
        <w:rPr/>
      </w:pPr>
      <w:r>
        <w:rPr>
          <w:rFonts w:ascii="Times New Roman" w:cs="Times New Roman" w:eastAsia="Times New Roman" w:hAnsi="Times New Roman"/>
          <w:b w:val="1"/>
          <w:bCs w:val="1"/>
          <w:sz w:val="26"/>
          <w:szCs w:val="26"/>
          <w:rtl w:val="0"/>
        </w:rPr>
        <w:t>Technological Capability, Digital Adoption, and the Internationalization–Performance Relationship: A Firm-Level Study of Singapore</w:t>
      </w:r>
      <w:r>
        <w:rPr>
          <w:rtl w:val="0"/>
        </w:rPr>
      </w:r>
    </w:p>
    <w:p w:rsidR="00000000" w:rsidDel="00000000" w:rsidP="00000000" w:rsidRDefault="00000000" w:rsidRPr="00000000" w14:paraId="00000002">
      <w:pPr>
        <w:spacing w:after="160" w:before="280" w:lineRule="auto"/>
        <w:jc w:val="left"/>
        <w:rPr/>
      </w:pPr>
      <w:r>
        <w:rPr>
          <w:rFonts w:ascii="Times New Roman" w:cs="Times New Roman" w:eastAsia="Times New Roman" w:hAnsi="Times New Roman"/>
          <w:b w:val="1"/>
          <w:bCs w:val="1"/>
          <w:sz w:val="22"/>
          <w:szCs w:val="22"/>
          <w:rtl w:val="0"/>
        </w:rPr>
        <w:t xml:space="preserve">Abstract</w:t>
      </w:r>
      <w:r>
        <w:rPr>
          <w:rtl w:val="0"/>
        </w:rPr>
      </w:r>
    </w:p>
    <w:p w:rsidR="00000000" w:rsidDel="00000000" w:rsidP="00000000" w:rsidRDefault="00000000" w:rsidRPr="00000000" w14:paraId="00000003">
      <w:pPr>
        <w:spacing w:after="0" w:line="480" w:lineRule="auto"/>
        <w:jc w:val="both"/>
        <w:rPr/>
      </w:pPr>
      <w:r>
        <w:rPr>
          <w:rFonts w:ascii="Times New Roman" w:cs="Times New Roman" w:eastAsia="Times New Roman" w:hAnsi="Times New Roman"/>
          <w:sz w:val="20"/>
          <w:szCs w:val="20"/>
          <w:rtl w:val="0"/>
        </w:rPr>
        <w:t>This study examines how technological capability and digital adoption are associated with the internationalization–performance relationship among firms in Singapore, treated as an analytically informative, within-context setting of a digitally advanced economy. Using World Bank Enterprise Survey microdata for Singapore 2023, the analysis distinguishes a Technological Capability Index (TCI), capturing firm-internal capability depth, from a Digital Adoption Index (DAI), capturing foundational digital interfaces and transaction-enabling mechanisms.</w:t>
      </w:r>
      <w:r>
        <w:rPr>
          <w:rtl w:val="0"/>
        </w:rPr>
      </w:r>
    </w:p>
    <w:p w:rsidR="00000000" w:rsidDel="00000000" w:rsidP="00000000" w:rsidRDefault="00000000" w:rsidRPr="00000000" w14:paraId="00000003">
      <w:pPr>
        <w:spacing w:after="0" w:line="480" w:lineRule="auto"/>
        <w:jc w:val="both"/>
        <w:rPr/>
      </w:pPr>
      <w:r>
        <w:rPr>
          <w:rFonts w:ascii="Times New Roman" w:cs="Times New Roman" w:eastAsia="Times New Roman" w:hAnsi="Times New Roman"/>
          <w:sz w:val="20"/>
          <w:szCs w:val="20"/>
          <w:rtl w:val="0"/>
        </w:rPr>
        <w:t>Three findings emerge. First, within the observed export-intensity range, the internationalization–performance relationship is better characterized as predominantly positive with mild quadratic curvature than as a formally identified inverted-U. The fitted quadratic implies a turning point in the upper tail, but that point is imprecisely located and falls in a sparsely populated region of the data. Second, TCI is positively associated with labour productivity, while no statistically distinguishable moderation by TCI is detected under the present design. Third, DAI does not exhibit a large uniform productivity premium across firms; instead, its association with productivity becomes more positive at higher levels of export intensity, with the clearest signal concentrated in the high-export tail. Taken together, the findings provide within-context evidence from Singapore that sharpens the distinction between technological capability and foundational digital adoption and suggests that digital adoption may function more as a contingent scaling resource than as a uniform productivity advantage.</w:t>
      </w:r>
      <w:r>
        <w:rPr>
          <w:rtl w:val="0"/>
        </w:rPr>
      </w:r>
    </w:p>
    <w:p w:rsidR="00000000" w:rsidDel="00000000" w:rsidP="00000000" w:rsidRDefault="00000000" w:rsidRPr="00000000" w14:paraId="00000004">
      <w:pPr>
        <w:spacing w:after="120" w:line="480" w:lineRule="auto"/>
        <w:jc w:val="left"/>
        <w:rPr/>
      </w:pPr>
      <w:r>
        <w:rPr>
          <w:rtl w:val="0"/>
        </w:rPr>
      </w:r>
    </w:p>
    <w:p w:rsidR="00000000" w:rsidDel="00000000" w:rsidP="00000000" w:rsidRDefault="00000000" w:rsidRPr="00000000" w14:paraId="00000005">
      <w:pPr>
        <w:spacing w:after="0" w:line="480" w:lineRule="auto"/>
        <w:jc w:val="left"/>
        <w:rPr/>
      </w:pPr>
      <w:r>
        <w:rPr>
          <w:rFonts w:ascii="Times New Roman" w:cs="Times New Roman" w:eastAsia="Times New Roman" w:hAnsi="Times New Roman"/>
          <w:b w:val="1"/>
          <w:bCs w:val="1"/>
          <w:sz w:val="20"/>
          <w:szCs w:val="20"/>
          <w:rtl w:val="0"/>
        </w:rPr>
        <w:t>Keywords: internationalization–performance relationship; digital adoption; technological capability; boundary conditions; Singapore</w:t>
      </w:r>
      <w:r>
        <w:rPr>
          <w:rtl w:val="0"/>
        </w:rPr>
      </w:r>
    </w:p>
    <w:p w:rsidR="00000000" w:rsidDel="00000000" w:rsidP="00000000" w:rsidRDefault="00000000" w:rsidRPr="00000000" w14:paraId="00000006">
      <w:pPr>
        <w:spacing w:after="240" w:before="360" w:lineRule="auto"/>
        <w:jc w:val="left"/>
        <w:rPr/>
      </w:pPr>
      <w:r>
        <w:rPr>
          <w:rFonts w:ascii="Times New Roman" w:cs="Times New Roman" w:eastAsia="Times New Roman" w:hAnsi="Times New Roman"/>
          <w:b w:val="1"/>
          <w:bCs w:val="1"/>
          <w:sz w:val="24"/>
          <w:szCs w:val="24"/>
          <w:rtl w:val="0"/>
        </w:rPr>
        <w:t xml:space="preserve">1 Introduction</w:t>
      </w:r>
      <w:r>
        <w:rPr>
          <w:rtl w:val="0"/>
        </w:rPr>
      </w:r>
    </w:p>
    <w:p w:rsidR="00000000" w:rsidDel="00000000" w:rsidP="00000000" w:rsidRDefault="00000000" w:rsidRPr="00000000" w14:paraId="00000007">
      <w:pPr>
        <w:spacing w:after="160" w:before="280" w:lineRule="auto"/>
        <w:jc w:val="left"/>
        <w:rPr/>
      </w:pPr>
      <w:r>
        <w:rPr>
          <w:rFonts w:ascii="Times New Roman" w:cs="Times New Roman" w:eastAsia="Times New Roman" w:hAnsi="Times New Roman"/>
          <w:b w:val="1"/>
          <w:bCs w:val="1"/>
          <w:sz w:val="22"/>
          <w:szCs w:val="22"/>
          <w:rtl w:val="0"/>
        </w:rPr>
        <w:t xml:space="preserve">1.1 Background and motivation</w:t>
      </w:r>
      <w:r>
        <w:rPr>
          <w:rtl w:val="0"/>
        </w:rPr>
      </w:r>
    </w:p>
    <w:p w:rsidR="00000000" w:rsidDel="00000000" w:rsidP="00000000" w:rsidRDefault="00000000" w:rsidRPr="00000000" w14:paraId="00000008">
      <w:pPr>
        <w:spacing w:after="0" w:line="480" w:lineRule="auto"/>
        <w:ind w:firstLine="720"/>
        <w:jc w:val="both"/>
        <w:rPr/>
      </w:pPr>
      <w:r>
        <w:rPr>
          <w:rFonts w:ascii="Times New Roman" w:cs="Times New Roman" w:eastAsia="Times New Roman" w:hAnsi="Times New Roman"/>
          <w:sz w:val="20"/>
          <w:szCs w:val="20"/>
          <w:rtl w:val="0"/>
        </w:rPr>
        <w:t>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mature economies (Peng 2003; Peng et al. 2008) and may not fully capture how the I–P curve behaves when firms operate in a digitally mature institutional environment.</w:t>
      </w:r>
      <w:r>
        <w:rPr>
          <w:rtl w:val="0"/>
        </w:rPr>
      </w:r>
    </w:p>
    <w:p w:rsidR="00000000" w:rsidDel="00000000" w:rsidP="00000000" w:rsidRDefault="00000000" w:rsidRPr="00000000" w14:paraId="00000009">
      <w:pPr>
        <w:spacing w:after="0" w:line="480" w:lineRule="auto"/>
        <w:ind w:firstLine="720"/>
        <w:jc w:val="both"/>
        <w:rPr/>
      </w:pPr>
      <w:r>
        <w:rPr>
          <w:rFonts w:ascii="Times New Roman" w:cs="Times New Roman" w:eastAsia="Times New Roman" w:hAnsi="Times New Roman"/>
          <w:sz w:val="20"/>
          <w:szCs w:val="20"/>
          <w:rtl w:val="0"/>
        </w:rPr>
        <w:t>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rPr>
          <w:rtl w:val="0"/>
        </w:rPr>
      </w:r>
    </w:p>
    <w:p w:rsidR="00000000" w:rsidDel="00000000" w:rsidP="00000000" w:rsidRDefault="00000000" w:rsidRPr="00000000" w14:paraId="00000009">
      <w:pPr>
        <w:spacing w:after="0" w:line="480" w:lineRule="auto"/>
        <w:ind w:firstLine="720"/>
        <w:jc w:val="both"/>
        <w:rPr/>
      </w:pPr>
      <w:r>
        <w:rPr>
          <w:rFonts w:ascii="Times New Roman" w:cs="Times New Roman" w:eastAsia="Times New Roman" w:hAnsi="Times New Roman"/>
          <w:sz w:val="20"/>
          <w:szCs w:val="20"/>
          <w:rtl w:val="0"/>
        </w:rPr>
        <w:t>A second motivation concerns construct clarity. In digitally mature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rPr>
          <w:rtl w:val="0"/>
        </w:rPr>
      </w:r>
    </w:p>
    <w:p w:rsidR="00000000" w:rsidDel="00000000" w:rsidP="00000000" w:rsidRDefault="00000000" w:rsidRPr="00000000" w14:paraId="0000000A">
      <w:pPr>
        <w:spacing w:after="160" w:before="280" w:lineRule="auto"/>
        <w:jc w:val="left"/>
        <w:rPr/>
      </w:pPr>
      <w:r>
        <w:rPr>
          <w:rFonts w:ascii="Times New Roman" w:cs="Times New Roman" w:eastAsia="Times New Roman" w:hAnsi="Times New Roman"/>
          <w:b w:val="1"/>
          <w:bCs w:val="1"/>
          <w:sz w:val="22"/>
          <w:szCs w:val="22"/>
          <w:rtl w:val="0"/>
        </w:rPr>
        <w:t xml:space="preserve">1.2 Research gap</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Three gaps motivate this study. First, prior research has often bundled digitalization-related firm attributes into broad umbrella constructs, making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Second, although work on digital internationalization has generated important conceptual advances, firm-level evidence remains limited on how basic digital adoption relates to export intensity within a single digitally advanced institutional environment. In particular, the literature still offers limited evidence on whether foundational digital tools matter uniformly across firms or become more relevant only when cross-border coordination demands intensify.</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Third, the nonlinear internationalization–performance literature has documented inverted-U patterns extensively, but the interpretation of such patterns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in the same empirical framework.</w:t>
      </w:r>
      <w:r>
        <w:rPr>
          <w:rtl w:val="0"/>
        </w:rPr>
      </w:r>
    </w:p>
    <w:p w:rsidR="00000000" w:rsidDel="00000000" w:rsidP="00000000" w:rsidRDefault="00000000" w:rsidRPr="00000000" w14:paraId="0000000C">
      <w:pPr>
        <w:spacing w:after="160" w:before="280" w:lineRule="auto"/>
        <w:jc w:val="left"/>
        <w:rPr/>
      </w:pPr>
      <w:r>
        <w:rPr>
          <w:rFonts w:ascii="Times New Roman" w:cs="Times New Roman" w:eastAsia="Times New Roman" w:hAnsi="Times New Roman"/>
          <w:b w:val="1"/>
          <w:bCs w:val="1"/>
          <w:sz w:val="22"/>
          <w:szCs w:val="22"/>
          <w:rtl w:val="0"/>
        </w:rPr>
        <w:t xml:space="preserve">1.3 Contribution</w:t>
      </w:r>
      <w:r>
        <w:rPr>
          <w:rtl w:val="0"/>
        </w:rPr>
      </w:r>
    </w:p>
    <w:p w:rsidR="00000000" w:rsidDel="00000000" w:rsidP="00000000" w:rsidRDefault="00000000" w:rsidRPr="00000000" w14:paraId="0000000D">
      <w:pPr>
        <w:spacing w:after="0" w:line="480" w:lineRule="auto"/>
        <w:ind w:firstLine="720"/>
        <w:jc w:val="both"/>
        <w:rPr/>
      </w:pPr>
      <w:r>
        <w:rPr>
          <w:rFonts w:ascii="Times New Roman" w:cs="Times New Roman" w:eastAsia="Times New Roman" w:hAnsi="Times New Roman"/>
          <w:sz w:val="20"/>
          <w:szCs w:val="20"/>
          <w:rtl w:val="0"/>
        </w:rPr>
        <w:t>This study makes one primary contribution and two supporting contributions. Its primary contribution is to provide firm-level, within-context evidence from Singapore showing that the classic right-side decline of the internationalization–performance curve is not clearly identified within the export-intensity range occupied by most firms in the sample. In this sense, the study qualifies rather than overturns the conventional nonlinear literature by showing that, in this setting, the fitted quadratic is more defensibly read as predominantly positive with mild curvature than as a formally established inverted-U.</w:t>
      </w:r>
      <w:r>
        <w:rPr>
          <w:rtl w:val="0"/>
        </w:rPr>
      </w:r>
    </w:p>
    <w:p w:rsidR="00000000" w:rsidDel="00000000" w:rsidP="00000000" w:rsidRDefault="00000000" w:rsidRPr="00000000" w14:paraId="0000000E">
      <w:pPr>
        <w:spacing w:after="0" w:line="480" w:lineRule="auto"/>
        <w:ind w:firstLine="720"/>
        <w:jc w:val="both"/>
        <w:rPr/>
      </w:pPr>
      <w:r>
        <w:rPr>
          <w:rFonts w:ascii="Times New Roman" w:cs="Times New Roman" w:eastAsia="Times New Roman" w:hAnsi="Times New Roman"/>
          <w:sz w:val="20"/>
          <w:szCs w:val="20"/>
          <w:rtl w:val="0"/>
        </w:rPr>
        <w:t>The first supporting contribution is construct clarification. The analysis distinguishes technological capability from foundational digital adoption, thereby separating firm-internal capability depth rooted in learning, innovation, and technology absorption from more basic digitally enabled interfaces and transaction mechanisms. This distinction matters because the two constructs are associated with firm performance in different ways and should not be treated as interchangeable indicators of a single digital-capability domain.</w:t>
      </w:r>
      <w:r>
        <w:rPr>
          <w:rtl w:val="0"/>
        </w:rPr>
      </w:r>
    </w:p>
    <w:p w:rsidR="00000000" w:rsidDel="00000000" w:rsidP="00000000" w:rsidRDefault="00000000" w:rsidRPr="00000000" w14:paraId="0000000E">
      <w:pPr>
        <w:spacing w:after="0" w:line="480" w:lineRule="auto"/>
        <w:ind w:firstLine="720"/>
        <w:jc w:val="both"/>
        <w:rPr/>
      </w:pPr>
      <w:r>
        <w:rPr>
          <w:rFonts w:ascii="Times New Roman" w:cs="Times New Roman" w:eastAsia="Times New Roman" w:hAnsi="Times New Roman"/>
          <w:sz w:val="20"/>
          <w:szCs w:val="20"/>
          <w:rtl w:val="0"/>
        </w:rPr>
        <w:t>The second supporting contribution is substantive. The findings indicate that foundational digital adoption is better understood as a conditional scaling resource than as a uniform productivity premium: its association with productivity is weak across much of the export-intensity distribution and becomes more positive only in the high-export tail. This does not establish a universal mechanism applying across all digitally advanced economies, but it does provide within-context evidence that the productivity relevance of foundational digital adoption depends on the intensity of cross-border operations.</w:t>
      </w:r>
      <w:r>
        <w:rPr>
          <w:rtl w:val="0"/>
        </w:rPr>
      </w:r>
    </w:p>
    <w:p w:rsidR="00000000" w:rsidDel="00000000" w:rsidP="00000000" w:rsidRDefault="00000000" w:rsidRPr="00000000" w14:paraId="00000010">
      <w:pPr>
        <w:spacing w:after="160" w:before="280" w:lineRule="auto"/>
        <w:jc w:val="left"/>
        <w:rPr/>
      </w:pPr>
      <w:r>
        <w:rPr>
          <w:rFonts w:ascii="Times New Roman" w:cs="Times New Roman" w:eastAsia="Times New Roman" w:hAnsi="Times New Roman"/>
          <w:b w:val="1"/>
          <w:bCs w:val="1"/>
          <w:sz w:val="22"/>
          <w:szCs w:val="22"/>
          <w:rtl w:val="0"/>
        </w:rPr>
        <w:t xml:space="preserve">1.4 Roadmap</w:t>
      </w:r>
      <w:r>
        <w:rPr>
          <w:rtl w:val="0"/>
        </w:rPr>
      </w:r>
    </w:p>
    <w:p w:rsidR="00000000" w:rsidDel="00000000" w:rsidP="00000000" w:rsidRDefault="00000000" w:rsidRPr="00000000" w14:paraId="00000011">
      <w:pPr>
        <w:spacing w:after="0" w:line="480" w:lineRule="auto"/>
        <w:ind w:firstLine="720"/>
        <w:jc w:val="both"/>
        <w:rPr/>
      </w:pPr>
      <w:r>
        <w:rPr>
          <w:rFonts w:ascii="Times New Roman" w:cs="Times New Roman" w:eastAsia="Times New Roman" w:hAnsi="Times New Roman"/>
          <w:sz w:val="20"/>
          <w:szCs w:val="20"/>
          <w:rtl w:val="0"/>
        </w:rPr>
        <w:t>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rPr>
          <w:rtl w:val="0"/>
        </w:rPr>
      </w:r>
    </w:p>
    <w:p w:rsidR="00000000" w:rsidDel="00000000" w:rsidP="00000000" w:rsidRDefault="00000000" w:rsidRPr="00000000" w14:paraId="00000012">
      <w:pPr>
        <w:spacing w:after="240" w:before="360" w:lineRule="auto"/>
        <w:jc w:val="left"/>
        <w:rPr/>
      </w:pPr>
      <w:r>
        <w:rPr>
          <w:rFonts w:ascii="Times New Roman" w:cs="Times New Roman" w:eastAsia="Times New Roman" w:hAnsi="Times New Roman"/>
          <w:b w:val="1"/>
          <w:bCs w:val="1"/>
          <w:sz w:val="24"/>
          <w:szCs w:val="24"/>
          <w:rtl w:val="0"/>
        </w:rPr>
        <w:t xml:space="preserve">2 Theory and Hypotheses</w:t>
      </w:r>
      <w:r>
        <w:rPr>
          <w:rtl w:val="0"/>
        </w:rPr>
      </w:r>
    </w:p>
    <w:p w:rsidR="00000000" w:rsidDel="00000000" w:rsidP="00000000" w:rsidRDefault="00000000" w:rsidRPr="00000000" w14:paraId="00000013">
      <w:pPr>
        <w:spacing w:after="160" w:before="280" w:lineRule="auto"/>
        <w:jc w:val="left"/>
        <w:rPr/>
      </w:pPr>
      <w:r>
        <w:rPr>
          <w:rFonts w:ascii="Times New Roman" w:cs="Times New Roman" w:eastAsia="Times New Roman" w:hAnsi="Times New Roman"/>
          <w:b w:val="1"/>
          <w:bCs w:val="1"/>
          <w:sz w:val="22"/>
          <w:szCs w:val="22"/>
          <w:rtl w:val="0"/>
        </w:rPr>
        <w:t xml:space="preserve">2.1 The internationalization–performance relationship</w:t>
      </w:r>
      <w:r>
        <w:rPr>
          <w:rtl w:val="0"/>
        </w:rPr>
      </w:r>
    </w:p>
    <w:p w:rsidR="00000000" w:rsidDel="00000000" w:rsidP="00000000" w:rsidRDefault="00000000" w:rsidRPr="00000000" w14:paraId="00000014">
      <w:pPr>
        <w:spacing w:after="0" w:line="480" w:lineRule="auto"/>
        <w:ind w:firstLine="720"/>
        <w:jc w:val="both"/>
        <w:rPr/>
      </w:pPr>
      <w:r>
        <w:rPr>
          <w:rFonts w:ascii="Times New Roman" w:cs="Times New Roman" w:eastAsia="Times New Roman" w:hAnsi="Times New Roman"/>
          <w:sz w:val="20"/>
          <w:szCs w:val="20"/>
          <w:rtl w:val="0"/>
        </w:rPr>
        <w:t>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rPr>
          <w:rtl w:val="0"/>
        </w:rPr>
      </w:r>
    </w:p>
    <w:p w:rsidR="00000000" w:rsidDel="00000000" w:rsidP="00000000" w:rsidRDefault="00000000" w:rsidRPr="00000000" w14:paraId="00000015">
      <w:pPr>
        <w:spacing w:after="0" w:line="480" w:lineRule="auto"/>
        <w:ind w:firstLine="720"/>
        <w:jc w:val="both"/>
        <w:rPr/>
      </w:pPr>
      <w:r>
        <w:rPr>
          <w:rFonts w:ascii="Times New Roman" w:cs="Times New Roman" w:eastAsia="Times New Roman" w:hAnsi="Times New Roman"/>
          <w:sz w:val="20"/>
          <w:szCs w:val="20"/>
          <w:rtl w:val="0"/>
        </w:rPr>
        <w:t>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rPr>
          <w:rtl w:val="0"/>
        </w:rPr>
      </w:r>
    </w:p>
    <w:p w:rsidR="00000000" w:rsidDel="00000000" w:rsidP="00000000" w:rsidRDefault="00000000" w:rsidRPr="00000000" w14:paraId="00000016">
      <w:pPr>
        <w:spacing w:after="160" w:before="280" w:lineRule="auto"/>
        <w:jc w:val="left"/>
        <w:rPr/>
      </w:pPr>
      <w:r>
        <w:rPr>
          <w:rFonts w:ascii="Times New Roman" w:cs="Times New Roman" w:eastAsia="Times New Roman" w:hAnsi="Times New Roman"/>
          <w:b w:val="1"/>
          <w:bCs w:val="1"/>
          <w:sz w:val="22"/>
          <w:szCs w:val="22"/>
          <w:rtl w:val="0"/>
        </w:rPr>
        <w:t xml:space="preserve">2.2 Two distinct constructs: TCI and DAI</w:t>
      </w:r>
      <w:r>
        <w:rPr>
          <w:rtl w:val="0"/>
        </w:rPr>
      </w:r>
    </w:p>
    <w:p w:rsidR="00000000" w:rsidDel="00000000" w:rsidP="00000000" w:rsidRDefault="00000000" w:rsidRPr="00000000" w14:paraId="00000017">
      <w:pPr>
        <w:spacing w:after="0" w:line="480" w:lineRule="auto"/>
        <w:ind w:firstLine="720"/>
        <w:jc w:val="both"/>
        <w:rPr/>
      </w:pPr>
      <w:r>
        <w:rPr>
          <w:rFonts w:ascii="Times New Roman" w:cs="Times New Roman" w:eastAsia="Times New Roman" w:hAnsi="Times New Roman"/>
          <w:sz w:val="20"/>
          <w:szCs w:val="20"/>
          <w:rtl w:val="0"/>
        </w:rPr>
        <w:t>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rPr>
          <w:rtl w:val="0"/>
        </w:rPr>
      </w:r>
    </w:p>
    <w:p w:rsidR="00000000" w:rsidDel="00000000" w:rsidP="00000000" w:rsidRDefault="00000000" w:rsidRPr="00000000" w14:paraId="00000018">
      <w:pPr>
        <w:spacing w:after="0" w:line="480" w:lineRule="auto"/>
        <w:ind w:firstLine="720"/>
        <w:jc w:val="both"/>
        <w:rPr/>
      </w:pPr>
      <w:r>
        <w:rPr>
          <w:rFonts w:ascii="Times New Roman" w:cs="Times New Roman" w:eastAsia="Times New Roman" w:hAnsi="Times New Roman"/>
          <w:sz w:val="20"/>
          <w:szCs w:val="20"/>
          <w:rtl w:val="0"/>
        </w:rPr>
        <w:t>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rPr>
          <w:rtl w:val="0"/>
        </w:rPr>
      </w:r>
    </w:p>
    <w:p w:rsidR="00000000" w:rsidDel="00000000" w:rsidP="00000000" w:rsidRDefault="00000000" w:rsidRPr="00000000" w14:paraId="00000019">
      <w:pPr>
        <w:spacing w:after="0" w:line="480" w:lineRule="auto"/>
        <w:ind w:firstLine="720"/>
        <w:jc w:val="both"/>
        <w:rPr/>
      </w:pPr>
      <w:r>
        <w:rPr>
          <w:rFonts w:ascii="Times New Roman" w:cs="Times New Roman" w:eastAsia="Times New Roman" w:hAnsi="Times New Roman"/>
          <w:sz w:val="20"/>
          <w:szCs w:val="20"/>
          <w:rtl w:val="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rPr>
          <w:rtl w:val="0"/>
        </w:rPr>
      </w:r>
      <w:r>
        <w:rPr>
          <w:rFonts w:ascii="Times New Roman" w:hAnsi="Times New Roman"/>
          <w:sz w:val="22"/>
        </w:rPr>
        <w:t xml:space="preserve"/>
      </w:r>
    </w:p>
    <w:p w:rsidR="00000000" w:rsidDel="00000000" w:rsidP="00000000" w:rsidRDefault="00000000" w:rsidRPr="00000000" w14:paraId="0000001A">
      <w:pPr>
        <w:spacing w:after="160" w:before="280" w:lineRule="auto"/>
        <w:jc w:val="left"/>
        <w:rPr/>
      </w:pPr>
      <w:r>
        <w:rPr>
          <w:rFonts w:ascii="Times New Roman" w:cs="Times New Roman" w:eastAsia="Times New Roman" w:hAnsi="Times New Roman"/>
          <w:b w:val="1"/>
          <w:bCs w:val="1"/>
          <w:sz w:val="22"/>
          <w:szCs w:val="22"/>
          <w:rtl w:val="0"/>
        </w:rPr>
        <w:t xml:space="preserve">2.3 Hypothesis development</w:t>
      </w:r>
      <w:r>
        <w:rPr>
          <w:rtl w:val="0"/>
        </w:rPr>
      </w:r>
    </w:p>
    <w:p w:rsidR="00000000" w:rsidDel="00000000" w:rsidP="00000000" w:rsidRDefault="00000000" w:rsidRPr="00000000" w14:paraId="0000001B">
      <w:pPr>
        <w:spacing w:after="120" w:before="240" w:lineRule="auto"/>
        <w:jc w:val="left"/>
        <w:rPr/>
      </w:pPr>
      <w:r>
        <w:rPr>
          <w:rFonts w:ascii="Times New Roman" w:cs="Times New Roman" w:eastAsia="Times New Roman" w:hAnsi="Times New Roman"/>
          <w:b w:val="1"/>
          <w:bCs w:val="1"/>
          <w:i w:val="1"/>
          <w:iCs w:val="1"/>
          <w:sz w:val="20"/>
          <w:szCs w:val="20"/>
          <w:rtl w:val="0"/>
        </w:rPr>
        <w:t xml:space="preserve">2.3.1 TCI direct effect on productivity</w:t>
      </w:r>
      <w:r>
        <w:rPr>
          <w:rtl w:val="0"/>
        </w:rPr>
      </w:r>
    </w:p>
    <w:p w:rsidR="00000000" w:rsidDel="00000000" w:rsidP="00000000" w:rsidRDefault="00000000" w:rsidRPr="00000000" w14:paraId="0000001C">
      <w:pPr>
        <w:spacing w:after="0" w:line="480" w:lineRule="auto"/>
        <w:ind w:firstLine="720"/>
        <w:jc w:val="both"/>
        <w:rPr/>
      </w:pPr>
      <w:r>
        <w:rPr>
          <w:rFonts w:ascii="Times New Roman" w:cs="Times New Roman" w:eastAsia="Times New Roman" w:hAnsi="Times New Roman"/>
          <w:sz w:val="20"/>
          <w:szCs w:val="20"/>
          <w:rtl w:val="0"/>
        </w:rPr>
        <w:t>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r>
        <w:rPr>
          <w:rtl w:val="0"/>
        </w:rPr>
      </w:r>
    </w:p>
    <w:p w:rsidR="00000000" w:rsidDel="00000000" w:rsidP="00000000" w:rsidRDefault="00000000" w:rsidRPr="00000000" w14:paraId="0000001D">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1 (H1). </w:t>
      </w:r>
      <w:r>
        <w:rPr>
          <w:rFonts w:ascii="Times New Roman" w:cs="Times New Roman" w:eastAsia="Times New Roman" w:hAnsi="Times New Roman"/>
          <w:i w:val="1"/>
          <w:iCs w:val="1"/>
          <w:sz w:val="20"/>
          <w:szCs w:val="20"/>
          <w:rtl w:val="0"/>
        </w:rPr>
        <w:t xml:space="preserve">Technological capability (TCI) is positively associated with firm performance in Singapore.</w:t>
      </w:r>
      <w:r>
        <w:rPr>
          <w:rtl w:val="0"/>
        </w:rPr>
      </w:r>
    </w:p>
    <w:p w:rsidR="00000000" w:rsidDel="00000000" w:rsidP="00000000" w:rsidRDefault="00000000" w:rsidRPr="00000000" w14:paraId="0000001E">
      <w:pPr>
        <w:spacing w:after="120" w:before="240" w:lineRule="auto"/>
        <w:jc w:val="left"/>
        <w:rPr/>
      </w:pPr>
      <w:r>
        <w:rPr>
          <w:rFonts w:ascii="Times New Roman" w:cs="Times New Roman" w:eastAsia="Times New Roman" w:hAnsi="Times New Roman"/>
          <w:b w:val="1"/>
          <w:bCs w:val="1"/>
          <w:i w:val="1"/>
          <w:iCs w:val="1"/>
          <w:sz w:val="20"/>
          <w:szCs w:val="20"/>
          <w:rtl w:val="0"/>
        </w:rPr>
        <w:t xml:space="preserve">2.3.2 TCI moderation of the I–P relationship</w:t>
      </w:r>
      <w:r>
        <w:rPr>
          <w:rtl w:val="0"/>
        </w:rPr>
      </w:r>
    </w:p>
    <w:p w:rsidR="00000000" w:rsidDel="00000000" w:rsidP="00000000" w:rsidRDefault="00000000" w:rsidRPr="00000000" w14:paraId="0000001F">
      <w:pPr>
        <w:spacing w:after="0" w:line="480" w:lineRule="auto"/>
        <w:ind w:firstLine="720"/>
        <w:jc w:val="both"/>
        <w:rPr/>
      </w:pPr>
      <w:r>
        <w:rPr>
          <w:rFonts w:ascii="Times New Roman" w:cs="Times New Roman" w:eastAsia="Times New Roman" w:hAnsi="Times New Roman"/>
          <w:sz w:val="20"/>
          <w:szCs w:val="20"/>
          <w:rtl w:val="0"/>
        </w:rPr>
        <w:t>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rPr>
          <w:rtl w:val="0"/>
        </w:rPr>
      </w:r>
    </w:p>
    <w:p w:rsidR="00000000" w:rsidDel="00000000" w:rsidP="00000000" w:rsidRDefault="00000000" w:rsidRPr="00000000" w14:paraId="00000020">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Hypothesis 2 (H2). Technological capability (TCI) is positively associated with labour productivity in Singapore, while its moderation of the internationalization–performance relationship is treated as an open empirical question.</w:t>
      </w:r>
      <w:r>
        <w:rPr>
          <w:rFonts w:ascii="Times New Roman" w:cs="Times New Roman" w:eastAsia="Times New Roman" w:hAnsi="Times New Roman"/>
          <w:i w:val="1"/>
          <w:iCs w:val="1"/>
          <w:sz w:val="20"/>
          <w:szCs w:val="20"/>
          <w:rtl w:val="0"/>
        </w:rPr>
      </w:r>
      <w:r>
        <w:rPr>
          <w:rtl w:val="0"/>
        </w:rPr>
      </w:r>
    </w:p>
    <w:p w:rsidR="00000000" w:rsidDel="00000000" w:rsidP="00000000" w:rsidRDefault="00000000" w:rsidRPr="00000000" w14:paraId="00000021">
      <w:pPr>
        <w:spacing w:after="120" w:before="240" w:lineRule="auto"/>
        <w:jc w:val="left"/>
        <w:rPr/>
      </w:pPr>
      <w:r>
        <w:rPr>
          <w:rFonts w:ascii="Times New Roman" w:cs="Times New Roman" w:eastAsia="Times New Roman" w:hAnsi="Times New Roman"/>
          <w:b w:val="1"/>
          <w:bCs w:val="1"/>
          <w:i w:val="1"/>
          <w:iCs w:val="1"/>
          <w:sz w:val="20"/>
          <w:szCs w:val="20"/>
          <w:rtl w:val="0"/>
        </w:rPr>
        <w:t xml:space="preserve">2.3.3 DAI direct effect on productivity</w:t>
      </w:r>
      <w:r>
        <w:rPr>
          <w:rtl w:val="0"/>
        </w:rPr>
      </w:r>
    </w:p>
    <w:p w:rsidR="00000000" w:rsidDel="00000000" w:rsidP="00000000" w:rsidRDefault="00000000" w:rsidRPr="00000000" w14:paraId="00000022">
      <w:pPr>
        <w:spacing w:after="0" w:line="480" w:lineRule="auto"/>
        <w:ind w:firstLine="720"/>
        <w:jc w:val="both"/>
        <w:rPr/>
      </w:pPr>
      <w:r>
        <w:rPr>
          <w:rFonts w:ascii="Times New Roman" w:cs="Times New Roman" w:eastAsia="Times New Roman" w:hAnsi="Times New Roman"/>
          <w:sz w:val="20"/>
          <w:szCs w:val="20"/>
          <w:rtl w:val="0"/>
        </w:rPr>
        <w:t>Digital adoption may improve firm performance through faster information flows, lower transaction frictions, and more efficient digital exchange, but such benefits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rPr>
          <w:rtl w:val="0"/>
        </w:rPr>
      </w:r>
    </w:p>
    <w:p w:rsidR="00000000" w:rsidDel="00000000" w:rsidP="00000000" w:rsidRDefault="00000000" w:rsidRPr="00000000" w14:paraId="00000023">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Hypothesis 3 (H3). The productivity association of digital adoption (DAI) in Singapore is conditional rather than uniform across firms.</w:t>
      </w:r>
      <w:r>
        <w:rPr>
          <w:rFonts w:ascii="Times New Roman" w:cs="Times New Roman" w:eastAsia="Times New Roman" w:hAnsi="Times New Roman"/>
          <w:i w:val="1"/>
          <w:iCs w:val="1"/>
          <w:sz w:val="20"/>
          <w:szCs w:val="20"/>
          <w:rtl w:val="0"/>
        </w:rPr>
      </w:r>
      <w:r>
        <w:rPr>
          <w:rtl w:val="0"/>
        </w:rPr>
      </w:r>
    </w:p>
    <w:p w:rsidR="00000000" w:rsidDel="00000000" w:rsidP="00000000" w:rsidRDefault="00000000" w:rsidRPr="00000000" w14:paraId="00000024">
      <w:pPr>
        <w:spacing w:after="120" w:before="240" w:lineRule="auto"/>
        <w:jc w:val="left"/>
        <w:rPr/>
      </w:pPr>
      <w:r>
        <w:rPr>
          <w:rFonts w:ascii="Times New Roman" w:cs="Times New Roman" w:eastAsia="Times New Roman" w:hAnsi="Times New Roman"/>
          <w:b w:val="1"/>
          <w:bCs w:val="1"/>
          <w:i w:val="1"/>
          <w:iCs w:val="1"/>
          <w:sz w:val="20"/>
          <w:szCs w:val="20"/>
          <w:rtl w:val="0"/>
        </w:rPr>
        <w:t xml:space="preserve">2.3.4 DAI as a conditional complement to export intensity</w:t>
      </w:r>
      <w:r>
        <w:rPr>
          <w:rtl w:val="0"/>
        </w:rPr>
      </w:r>
    </w:p>
    <w:p w:rsidR="00000000" w:rsidDel="00000000" w:rsidP="00000000" w:rsidRDefault="00000000" w:rsidRPr="00000000" w14:paraId="00000025">
      <w:pPr>
        <w:spacing w:after="0" w:line="480" w:lineRule="auto"/>
        <w:ind w:firstLine="720"/>
        <w:jc w:val="both"/>
        <w:rPr/>
      </w:pPr>
      <w:r>
        <w:rPr>
          <w:rFonts w:ascii="Times New Roman" w:cs="Times New Roman" w:eastAsia="Times New Roman" w:hAnsi="Times New Roman"/>
          <w:sz w:val="20"/>
          <w:szCs w:val="20"/>
          <w:rtl w:val="0"/>
        </w:rPr>
        <w:t>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r>
        <w:rPr>
          <w:rtl w:val="0"/>
        </w:rPr>
      </w:r>
    </w:p>
    <w:p w:rsidR="00000000" w:rsidDel="00000000" w:rsidP="00000000" w:rsidRDefault="00000000" w:rsidRPr="00000000" w14:paraId="00000026">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Hypothesis 4 (H4). The association between digital adoption (DAI) and firm performance becomes more positive at higher levels of export intensity in Singapore.</w:t>
      </w:r>
      <w:r>
        <w:rPr>
          <w:rFonts w:ascii="Times New Roman" w:cs="Times New Roman" w:eastAsia="Times New Roman" w:hAnsi="Times New Roman"/>
          <w:i w:val="1"/>
          <w:iCs w:val="1"/>
          <w:sz w:val="20"/>
          <w:szCs w:val="20"/>
          <w:rtl w:val="0"/>
        </w:rPr>
      </w:r>
      <w:r>
        <w:rPr>
          <w:rtl w:val="0"/>
        </w:rPr>
      </w:r>
    </w:p>
    <w:p w:rsidR="00000000" w:rsidDel="00000000" w:rsidP="00000000" w:rsidRDefault="00000000" w:rsidRPr="00000000" w14:paraId="00000027">
      <w:pPr>
        <w:spacing w:after="160" w:before="280" w:lineRule="auto"/>
        <w:jc w:val="left"/>
        <w:rPr/>
      </w:pPr>
      <w:r>
        <w:rPr>
          <w:rFonts w:ascii="Times New Roman" w:cs="Times New Roman" w:eastAsia="Times New Roman" w:hAnsi="Times New Roman"/>
          <w:b w:val="1"/>
          <w:bCs w:val="1"/>
          <w:sz w:val="22"/>
          <w:szCs w:val="22"/>
          <w:rtl w:val="0"/>
        </w:rPr>
        <w:t xml:space="preserve">2.4 Conceptual model</w:t>
      </w:r>
      <w:r>
        <w:rPr>
          <w:rtl w:val="0"/>
        </w:rPr>
      </w:r>
    </w:p>
    <w:p w:rsidR="00000000" w:rsidDel="00000000" w:rsidP="00000000" w:rsidRDefault="00000000" w:rsidRPr="00000000" w14:paraId="00000028">
      <w:pPr>
        <w:spacing w:after="0" w:line="480" w:lineRule="auto"/>
        <w:ind w:firstLine="720"/>
        <w:jc w:val="both"/>
        <w:rPr/>
      </w:pPr>
      <w:r>
        <w:rPr>
          <w:rFonts w:ascii="Times New Roman" w:cs="Times New Roman" w:eastAsia="Times New Roman" w:hAnsi="Times New Roman"/>
          <w:sz w:val="20"/>
          <w:szCs w:val="20"/>
          <w:rtl w:val="0"/>
        </w:rPr>
        <w:t>Figure 1 summarizes the conceptual model. The model treats TCI and DAI as analytically distinct firm-level constructs that are associated with firm performance through different channels. TCI is expected to show a more stable direct association with labour productivity than a clearly identified moderation pattern, reflecting its role as firm-internal capability depth grounded in learning, innovation, and technology absorption. DAI, by contrast, is theorized to matter contingently through export intensity rather than as a uniform direct premium, because the observed indicators capture foundational digital interfaces and transaction-enabling mechanisms whose relevance depends on how intensively firms engage in cross-border operations. In this sense, H3 and H4 are jointly informative: H3 concerns the non-uniformity of the DAI–productivity association, whereas H4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r>
        <w:rPr>
          <w:rtl w:val="0"/>
        </w:rPr>
      </w:r>
    </w:p>
    <w:p w:rsidR="00000000" w:rsidDel="00000000" w:rsidP="00000000" w:rsidRDefault="00000000" w:rsidRPr="00000000" w14:paraId="00000029">
      <w:pPr>
        <w:spacing w:after="120" w:before="240" w:lineRule="auto"/>
        <w:jc w:val="center"/>
        <w:rPr/>
      </w:pPr>
      <w:r>
        <w:rPr/>
        <w:drawing>
          <wp:inline distB="0" distT="0" distL="0" distR="0">
            <wp:extent cx="51435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3429000"/>
                    </a:xfrm>
                    <a:prstGeom prst="rect"/>
                    <a:ln/>
                  </pic:spPr>
                </pic:pic>
              </a:graphicData>
            </a:graphic>
          </wp:inline>
        </w:drawing>
      </w:r>
      <w:r>
        <w:rPr>
          <w:rtl w:val="0"/>
        </w:rPr>
      </w:r>
    </w:p>
    <w:p w:rsidR="00000000" w:rsidDel="00000000" w:rsidP="00000000" w:rsidRDefault="00000000" w:rsidRPr="00000000" w14:paraId="0000002A">
      <w:pPr>
        <w:spacing w:after="240" w:line="280" w:lineRule="auto"/>
        <w:jc w:val="center"/>
        <w:rPr/>
      </w:pPr>
      <w:r>
        <w:rPr>
          <w:rFonts w:ascii="Cardo" w:cs="Cardo" w:eastAsia="Cardo" w:hAnsi="Cardo"/>
          <w:i w:val="1"/>
          <w:iCs w:val="1"/>
          <w:sz w:val="18"/>
          <w:szCs w:val="18"/>
          <w:rtl w:val="0"/>
        </w:rPr>
        <w:t>Figure 1. Conceptual model. Internationalization (FSTS, FSTS²) is the independent variable; firm performance, measured as ln(labour productivity), is the dependent variable. Technological capability (TCI) and digital adoption (DAI) are moderators acting on the internationalization–performance path (H2 and H4). The diagram also lists the direct effects of TCI and DAI on the dependent variable (H1 and H3), which are estimated in the empirical model but not drawn as crossing arrows for visual clarity. Firm size, age, foreign ownership, and broad-sector fixed effects enter as controls. Solid arrows denote direct associations; dashed arrows denote moderation associations. The setting is Singapore as a within-context, analytically informative case of a digitally advanced economy (WBES 2023, N = 623 / 617).</w:t>
      </w:r>
      <w:r>
        <w:rPr>
          <w:rtl w:val="0"/>
        </w:rPr>
      </w:r>
    </w:p>
    <w:p w:rsidR="00000000" w:rsidDel="00000000" w:rsidP="00000000" w:rsidRDefault="00000000" w:rsidRPr="00000000" w14:paraId="0000002B">
      <w:pPr>
        <w:spacing w:after="240" w:before="360" w:lineRule="auto"/>
        <w:jc w:val="left"/>
        <w:rPr/>
      </w:pPr>
      <w:r>
        <w:rPr>
          <w:rFonts w:ascii="Times New Roman" w:cs="Times New Roman" w:eastAsia="Times New Roman" w:hAnsi="Times New Roman"/>
          <w:b w:val="1"/>
          <w:bCs w:val="1"/>
          <w:sz w:val="24"/>
          <w:szCs w:val="24"/>
          <w:rtl w:val="0"/>
        </w:rPr>
        <w:t xml:space="preserve">3 Methods</w:t>
      </w:r>
      <w:r>
        <w:rPr>
          <w:rtl w:val="0"/>
        </w:rPr>
      </w:r>
    </w:p>
    <w:p w:rsidR="00000000" w:rsidDel="00000000" w:rsidP="00000000" w:rsidRDefault="00000000" w:rsidRPr="00000000" w14:paraId="0000002C">
      <w:pPr>
        <w:spacing w:after="160" w:before="280" w:lineRule="auto"/>
        <w:jc w:val="left"/>
        <w:rPr/>
      </w:pPr>
      <w:r>
        <w:rPr>
          <w:rFonts w:ascii="Times New Roman" w:cs="Times New Roman" w:eastAsia="Times New Roman" w:hAnsi="Times New Roman"/>
          <w:b w:val="1"/>
          <w:bCs w:val="1"/>
          <w:sz w:val="22"/>
          <w:szCs w:val="22"/>
          <w:rtl w:val="0"/>
        </w:rPr>
        <w:t xml:space="preserve">3.1 Data</w:t>
      </w:r>
      <w:r>
        <w:rPr>
          <w:rtl w:val="0"/>
        </w:rPr>
      </w:r>
    </w:p>
    <w:p w:rsidR="00000000" w:rsidDel="00000000" w:rsidP="00000000" w:rsidRDefault="00000000" w:rsidRPr="00000000" w14:paraId="0000002D">
      <w:pPr>
        <w:spacing w:after="0" w:line="480" w:lineRule="auto"/>
        <w:ind w:firstLine="720"/>
        <w:jc w:val="both"/>
        <w:rPr/>
      </w:pPr>
      <w:r>
        <w:rPr>
          <w:rFonts w:ascii="Times New Roman" w:cs="Times New Roman" w:eastAsia="Times New Roman" w:hAnsi="Times New Roman"/>
          <w:sz w:val="20"/>
          <w:szCs w:val="20"/>
          <w:rtl w:val="0"/>
        </w:rPr>
        <w:t>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Descriptive statistics and pairwise correlations are reported in Table 1.</w:t>
      </w:r>
      <w:r>
        <w:rPr>
          <w:rtl w:val="0"/>
        </w:rPr>
      </w:r>
    </w:p>
    <w:p w:rsidR="00000000" w:rsidDel="00000000" w:rsidP="00000000" w:rsidRDefault="00000000" w:rsidRPr="00000000" w14:paraId="0000002E">
      <w:pPr>
        <w:spacing w:after="160" w:before="280" w:lineRule="auto"/>
        <w:jc w:val="left"/>
        <w:rPr/>
      </w:pPr>
      <w:r>
        <w:rPr>
          <w:rFonts w:ascii="Times New Roman" w:cs="Times New Roman" w:eastAsia="Times New Roman" w:hAnsi="Times New Roman"/>
          <w:b w:val="1"/>
          <w:bCs w:val="1"/>
          <w:sz w:val="22"/>
          <w:szCs w:val="22"/>
          <w:rtl w:val="0"/>
        </w:rPr>
        <w:t xml:space="preserve">3.2 Variables</w:t>
      </w:r>
      <w:r>
        <w:rPr>
          <w:rtl w:val="0"/>
        </w:rPr>
      </w:r>
    </w:p>
    <w:p w:rsidR="00000000" w:rsidDel="00000000" w:rsidP="00000000" w:rsidRDefault="00000000" w:rsidRPr="00000000" w14:paraId="0000002F">
      <w:pPr>
        <w:spacing w:after="120" w:before="240" w:lineRule="auto"/>
        <w:jc w:val="left"/>
        <w:rPr/>
      </w:pPr>
      <w:r>
        <w:rPr>
          <w:rFonts w:ascii="Times New Roman" w:cs="Times New Roman" w:eastAsia="Times New Roman" w:hAnsi="Times New Roman"/>
          <w:b w:val="1"/>
          <w:bCs w:val="1"/>
          <w:i w:val="1"/>
          <w:iCs w:val="1"/>
          <w:sz w:val="20"/>
          <w:szCs w:val="20"/>
          <w:rtl w:val="0"/>
        </w:rPr>
        <w:t xml:space="preserve">3.2.1 Dependent variable</w:t>
      </w:r>
      <w:r>
        <w:rPr>
          <w:rtl w:val="0"/>
        </w:rPr>
      </w:r>
    </w:p>
    <w:p w:rsidR="00000000" w:rsidDel="00000000" w:rsidP="00000000" w:rsidRDefault="00000000" w:rsidRPr="00000000" w14:paraId="00000030">
      <w:pPr>
        <w:spacing w:after="0" w:line="480" w:lineRule="auto"/>
        <w:ind w:firstLine="720"/>
        <w:jc w:val="both"/>
        <w:rPr/>
      </w:pPr>
      <w:r>
        <w:rPr>
          <w:rFonts w:ascii="Times New Roman" w:cs="Times New Roman" w:eastAsia="Times New Roman" w:hAnsi="Times New Roman"/>
          <w:sz w:val="20"/>
          <w:szCs w:val="20"/>
          <w:rtl w:val="0"/>
        </w:rPr>
        <w:t>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r>
        <w:rPr>
          <w:rtl w:val="0"/>
        </w:rPr>
      </w:r>
    </w:p>
    <w:p w:rsidR="00000000" w:rsidDel="00000000" w:rsidP="00000000" w:rsidRDefault="00000000" w:rsidRPr="00000000" w14:paraId="00000031">
      <w:pPr>
        <w:spacing w:after="120" w:before="240" w:lineRule="auto"/>
        <w:jc w:val="left"/>
        <w:rPr/>
      </w:pPr>
      <w:r>
        <w:rPr>
          <w:rFonts w:ascii="Times New Roman" w:cs="Times New Roman" w:eastAsia="Times New Roman" w:hAnsi="Times New Roman"/>
          <w:b w:val="1"/>
          <w:bCs w:val="1"/>
          <w:i w:val="1"/>
          <w:iCs w:val="1"/>
          <w:sz w:val="20"/>
          <w:szCs w:val="20"/>
          <w:rtl w:val="0"/>
        </w:rPr>
        <w:t xml:space="preserve">3.2.2 Focal independent variable</w:t>
      </w:r>
      <w:r>
        <w:rPr>
          <w:rtl w:val="0"/>
        </w:rPr>
      </w:r>
    </w:p>
    <w:p w:rsidR="00000000" w:rsidDel="00000000" w:rsidP="00000000" w:rsidRDefault="00000000" w:rsidRPr="00000000" w14:paraId="00000032">
      <w:pPr>
        <w:spacing w:after="0" w:line="480" w:lineRule="auto"/>
        <w:ind w:firstLine="720"/>
        <w:jc w:val="both"/>
        <w:rPr/>
      </w:pPr>
      <w:r>
        <w:rPr>
          <w:rFonts w:ascii="Times New Roman" w:cs="Times New Roman" w:eastAsia="Times New Roman" w:hAnsi="Times New Roman"/>
          <w:sz w:val="20"/>
          <w:szCs w:val="20"/>
          <w:rtl w:val="0"/>
        </w:rPr>
        <w:t>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rPr>
          <w:rtl w:val="0"/>
        </w:rPr>
      </w:r>
    </w:p>
    <w:p w:rsidR="00000000" w:rsidDel="00000000" w:rsidP="00000000" w:rsidRDefault="00000000" w:rsidRPr="00000000" w14:paraId="00000033">
      <w:pPr>
        <w:spacing w:after="120" w:before="240" w:lineRule="auto"/>
        <w:jc w:val="left"/>
        <w:rPr/>
      </w:pPr>
      <w:r>
        <w:rPr>
          <w:rFonts w:ascii="Times New Roman" w:cs="Times New Roman" w:eastAsia="Times New Roman" w:hAnsi="Times New Roman"/>
          <w:b w:val="1"/>
          <w:bCs w:val="1"/>
          <w:i w:val="1"/>
          <w:iCs w:val="1"/>
          <w:sz w:val="20"/>
          <w:szCs w:val="20"/>
          <w:rtl w:val="0"/>
        </w:rPr>
        <w:t xml:space="preserve">3.2.3 TCI and DAI composites</w:t>
      </w:r>
      <w:r>
        <w:rPr>
          <w:rtl w:val="0"/>
        </w:rPr>
      </w:r>
    </w:p>
    <w:p w:rsidR="00000000" w:rsidDel="00000000" w:rsidP="00000000" w:rsidRDefault="00000000" w:rsidRPr="00000000" w14:paraId="00000034">
      <w:pPr>
        <w:spacing w:after="0" w:line="480" w:lineRule="auto"/>
        <w:ind w:firstLine="720"/>
        <w:jc w:val="both"/>
        <w:rPr/>
      </w:pPr>
      <w:r>
        <w:rPr>
          <w:rFonts w:ascii="Times New Roman" w:cs="Times New Roman" w:eastAsia="Times New Roman" w:hAnsi="Times New Roman"/>
          <w:sz w:val="20"/>
          <w:szCs w:val="20"/>
          <w:rtl w:val="0"/>
        </w:rPr>
        <w:t>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r>
        <w:rPr>
          <w:rtl w:val="0"/>
        </w:rPr>
      </w:r>
      <w:r>
        <w:rPr>
          <w:rFonts w:ascii="Times New Roman" w:hAnsi="Times New Roman"/>
          <w:sz w:val="22"/>
        </w:rPr>
      </w:r>
    </w:p>
    <w:p w:rsidR="00000000" w:rsidDel="00000000" w:rsidP="00000000" w:rsidRDefault="00000000" w:rsidRPr="00000000" w14:paraId="00000036">
      <w:pPr>
        <w:spacing w:after="120" w:before="240" w:lineRule="auto"/>
        <w:jc w:val="left"/>
        <w:rPr/>
      </w:pPr>
      <w:r>
        <w:rPr>
          <w:rFonts w:ascii="Times New Roman" w:cs="Times New Roman" w:eastAsia="Times New Roman" w:hAnsi="Times New Roman"/>
          <w:b w:val="1"/>
          <w:bCs w:val="1"/>
          <w:i w:val="1"/>
          <w:iCs w:val="1"/>
          <w:sz w:val="20"/>
          <w:szCs w:val="20"/>
          <w:rtl w:val="0"/>
        </w:rPr>
        <w:t xml:space="preserve">3.2.4 Controls</w:t>
      </w:r>
      <w:r>
        <w:rPr>
          <w:rtl w:val="0"/>
        </w:rPr>
      </w:r>
    </w:p>
    <w:p w:rsidR="00000000" w:rsidDel="00000000" w:rsidP="00000000" w:rsidRDefault="00000000" w:rsidRPr="00000000" w14:paraId="00000037">
      <w:pPr>
        <w:spacing w:after="0" w:line="480" w:lineRule="auto"/>
        <w:ind w:firstLine="720"/>
        <w:jc w:val="both"/>
        <w:rPr/>
      </w:pPr>
      <w:r>
        <w:rPr>
          <w:rFonts w:ascii="Gungsuh" w:cs="Gungsuh" w:eastAsia="Gungsuh" w:hAnsi="Gungsuh"/>
          <w:sz w:val="20"/>
          <w:szCs w:val="20"/>
          <w:rtl w:val="0"/>
        </w:rPr>
        <w:t>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rPr>
          <w:rtl w:val="0"/>
        </w:rPr>
      </w:r>
    </w:p>
    <w:p w:rsidR="00000000" w:rsidDel="00000000" w:rsidP="00000000" w:rsidRDefault="00000000" w:rsidRPr="00000000" w14:paraId="00000038">
      <w:pPr>
        <w:spacing w:after="160" w:before="280" w:lineRule="auto"/>
        <w:jc w:val="left"/>
        <w:rPr/>
      </w:pPr>
      <w:r>
        <w:rPr>
          <w:rFonts w:ascii="Times New Roman" w:cs="Times New Roman" w:eastAsia="Times New Roman" w:hAnsi="Times New Roman"/>
          <w:b w:val="1"/>
          <w:bCs w:val="1"/>
          <w:sz w:val="22"/>
          <w:szCs w:val="22"/>
          <w:rtl w:val="0"/>
        </w:rPr>
        <w:t xml:space="preserve">3.3 Estimation strategy and identification scope</w:t>
      </w:r>
      <w:r>
        <w:rPr>
          <w:rtl w:val="0"/>
        </w:rPr>
      </w:r>
    </w:p>
    <w:p w:rsidR="00000000" w:rsidDel="00000000" w:rsidP="00000000" w:rsidRDefault="00000000" w:rsidRPr="00000000" w14:paraId="00000039">
      <w:pPr>
        <w:spacing w:after="0" w:line="480" w:lineRule="auto"/>
        <w:ind w:firstLine="720"/>
        <w:jc w:val="both"/>
        <w:rPr/>
      </w:pPr>
      <w:r>
        <w:rPr>
          <w:rFonts w:ascii="Times New Roman" w:cs="Times New Roman" w:eastAsia="Times New Roman" w:hAnsi="Times New Roman"/>
          <w:sz w:val="20"/>
          <w:szCs w:val="20"/>
          <w:rtl w:val="0"/>
        </w:rPr>
        <w:t>The empirical analysis uses ordinary least squares with broad sector fixed effects and HC1 heteroskedasticity-robust standard errors throughout. Models are estimated sequentially, beginning with a controls-only specification and then moving to a linear internationalization model, a quadratic full-sample benchmark, direct-effect models for TCI and DAI, and full specifications that incorporate moderation terms.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 Accordingly, the analysis does not treat the full-sample polynomial as sufficient evidence of a formally identified inverted-U in the observed data range.</w:t>
      </w:r>
      <w:r>
        <w:rPr>
          <w:rtl w:val="0"/>
        </w:rPr>
      </w:r>
    </w:p>
    <w:p w:rsidR="00000000" w:rsidDel="00000000" w:rsidP="00000000" w:rsidRDefault="00000000" w:rsidRPr="00000000" w14:paraId="0000003A">
      <w:pPr>
        <w:spacing w:after="120" w:line="480" w:lineRule="auto"/>
        <w:jc w:val="left"/>
        <w:rPr/>
      </w:pPr>
      <w:r>
        <w:rPr>
          <w:rFonts w:ascii="Times New Roman" w:cs="Times New Roman" w:eastAsia="Times New Roman" w:hAnsi="Times New Roman"/>
          <w:i w:val="1"/>
          <w:iCs w:val="1"/>
          <w:sz w:val="20"/>
          <w:szCs w:val="20"/>
          <w:rtl w:val="0"/>
        </w:rPr>
        <w:t xml:space="preserve">ln(LP) = α + β₁·FSTS_c + β₂·FSTS_c² + β₃·TCI + β₄·DAI + β₅·(FSTS_c × DAI) + β₆·(FSTS_c² × DAI) + γ·controls + ε,</w:t>
      </w:r>
      <w:r>
        <w:rPr>
          <w:rtl w:val="0"/>
        </w:rPr>
      </w:r>
    </w:p>
    <w:p w:rsidR="00000000" w:rsidDel="00000000" w:rsidP="00000000" w:rsidRDefault="00000000" w:rsidRPr="00000000" w14:paraId="0000003B">
      <w:pPr>
        <w:spacing w:after="0" w:line="480" w:lineRule="auto"/>
        <w:ind w:firstLine="720"/>
        <w:jc w:val="both"/>
        <w:rPr/>
      </w:pPr>
      <w:r>
        <w:rPr>
          <w:rFonts w:ascii="Times New Roman" w:cs="Times New Roman" w:eastAsia="Times New Roman" w:hAnsi="Times New Roman"/>
          <w:sz w:val="20"/>
          <w:szCs w:val="20"/>
          <w:rtl w:val="0"/>
        </w:rPr>
        <w:t>The full model includes centered FSTS, squared centered FSTS, TCI, DAI, the interaction between FSTS and DAI, and the interaction between squared FSTS and DAI, in addition to the control set. A supplementary specification replaces the DAI interaction block with analogous TCI interaction terms in order to assess whether technological capability operates primarily as a moderator or as an intercept-shifting capability variable.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r>
        <w:rPr>
          <w:rtl w:val="0"/>
        </w:rPr>
      </w:r>
    </w:p>
    <w:p w:rsidR="00000000" w:rsidDel="00000000" w:rsidP="00000000" w:rsidRDefault="00000000" w:rsidRPr="00000000" w14:paraId="0000003C">
      <w:pPr>
        <w:spacing w:after="0" w:line="480" w:lineRule="auto"/>
        <w:ind w:firstLine="720"/>
        <w:jc w:val="both"/>
        <w:rPr/>
      </w:pPr>
      <w:r>
        <w:rPr>
          <w:rFonts w:ascii="Times New Roman" w:cs="Times New Roman" w:eastAsia="Times New Roman" w:hAnsi="Times New Roman"/>
          <w:sz w:val="20"/>
          <w:szCs w:val="20"/>
          <w:rtl w:val="0"/>
        </w:rPr>
      </w:r>
      <w:r>
        <w:rPr>
          <w:rtl w:val="0"/>
        </w:rPr>
      </w:r>
    </w:p>
    <w:p w:rsidR="00000000" w:rsidDel="00000000" w:rsidP="00000000" w:rsidRDefault="00000000" w:rsidRPr="00000000" w14:paraId="0000003D">
      <w:pPr>
        <w:spacing w:after="240" w:before="360" w:lineRule="auto"/>
        <w:jc w:val="left"/>
        <w:rPr/>
      </w:pPr>
      <w:r>
        <w:rPr>
          <w:rFonts w:ascii="Times New Roman" w:cs="Times New Roman" w:eastAsia="Times New Roman" w:hAnsi="Times New Roman"/>
          <w:b w:val="1"/>
          <w:bCs w:val="1"/>
          <w:sz w:val="24"/>
          <w:szCs w:val="24"/>
          <w:rtl w:val="0"/>
        </w:rPr>
        <w:t xml:space="preserve">4 Results</w:t>
      </w:r>
      <w:r>
        <w:rPr>
          <w:rtl w:val="0"/>
        </w:rPr>
      </w:r>
    </w:p>
    <w:p w:rsidR="00000000" w:rsidDel="00000000" w:rsidP="00000000" w:rsidRDefault="00000000" w:rsidRPr="00000000" w14:paraId="0000003E">
      <w:pPr>
        <w:spacing w:after="160" w:before="280" w:lineRule="auto"/>
        <w:jc w:val="left"/>
        <w:rPr/>
      </w:pPr>
      <w:r>
        <w:rPr>
          <w:rFonts w:ascii="Times New Roman" w:cs="Times New Roman" w:eastAsia="Times New Roman" w:hAnsi="Times New Roman"/>
          <w:b w:val="1"/>
          <w:bCs w:val="1"/>
          <w:sz w:val="22"/>
          <w:szCs w:val="22"/>
          <w:rtl w:val="0"/>
        </w:rPr>
        <w:t xml:space="preserve">4.1 Descriptive statistics</w:t>
      </w:r>
      <w:r>
        <w:rPr>
          <w:rtl w:val="0"/>
        </w:rPr>
      </w:r>
    </w:p>
    <w:p w:rsidR="00000000" w:rsidDel="00000000" w:rsidP="00000000" w:rsidRDefault="00000000" w:rsidRPr="00000000" w14:paraId="0000003F">
      <w:pPr>
        <w:spacing w:after="0" w:line="480" w:lineRule="auto"/>
        <w:ind w:firstLine="720"/>
        <w:jc w:val="both"/>
        <w:rPr/>
      </w:pPr>
      <w:r>
        <w:rPr>
          <w:rFonts w:ascii="Times New Roman" w:cs="Times New Roman" w:eastAsia="Times New Roman" w:hAnsi="Times New Roman"/>
          <w:sz w:val="20"/>
          <w:szCs w:val="20"/>
          <w:rtl w:val="0"/>
        </w:rPr>
        <w:t>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rPr>
          <w:rtl w:val="0"/>
        </w:rPr>
      </w:r>
    </w:p>
    <w:p w:rsidR="00000000" w:rsidDel="00000000" w:rsidP="00000000" w:rsidRDefault="00000000" w:rsidRPr="00000000" w14:paraId="00000040">
      <w:pPr>
        <w:spacing w:after="120" w:line="480" w:lineRule="auto"/>
        <w:jc w:val="left"/>
        <w:rPr/>
      </w:pPr>
      <w:r>
        <w:rPr>
          <w:rFonts w:ascii="Times New Roman" w:cs="Times New Roman" w:eastAsia="Times New Roman" w:hAnsi="Times New Roman"/>
          <w:b w:val="1"/>
          <w:bCs w:val="1"/>
          <w:sz w:val="20"/>
          <w:szCs w:val="20"/>
          <w:rtl w:val="0"/>
        </w:rPr>
        <w:t xml:space="preserve">Table 1. Descriptive statistics and pairwise correlations.</w:t>
      </w:r>
      <w:r>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850"/>
        <w:gridCol w:w="850"/>
        <w:gridCol w:w="950"/>
        <w:gridCol w:w="950"/>
        <w:gridCol w:w="1000"/>
        <w:tblGridChange w:id="0">
          <w:tblGrid>
            <w:gridCol w:w="2200"/>
            <w:gridCol w:w="1100"/>
            <w:gridCol w:w="1100"/>
            <w:gridCol w:w="850"/>
            <w:gridCol w:w="850"/>
            <w:gridCol w:w="950"/>
            <w:gridCol w:w="950"/>
            <w:gridCol w:w="1000"/>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1">
            <w:pPr>
              <w:spacing w:line="240" w:lineRule="auto"/>
              <w:jc w:val="left"/>
              <w:rPr/>
            </w:pPr>
            <w:r>
              <w:rPr>
                <w:rFonts w:ascii="Times New Roman" w:cs="Times New Roman" w:eastAsia="Times New Roman" w:hAnsi="Times New Roman"/>
                <w:b w:val="1"/>
                <w:bCs w:val="1"/>
                <w:sz w:val="16"/>
                <w:szCs w:val="16"/>
                <w:rtl w:val="0"/>
              </w:rPr>
              <w:t xml:space="preserve">Panel A: Descriptive Statistics (N = 623)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2">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3">
            <w:pPr>
              <w:spacing w:line="240" w:lineRule="auto"/>
              <w:jc w:val="center"/>
              <w:rPr/>
            </w:pPr>
            <w:r>
              <w:rPr>
                <w:rFonts w:ascii="Times New Roman" w:cs="Times New Roman" w:eastAsia="Times New Roman" w:hAnsi="Times New Roman"/>
                <w:b w:val="1"/>
                <w:bCs w:val="1"/>
                <w:sz w:val="16"/>
                <w:szCs w:val="16"/>
                <w:rtl w:val="0"/>
              </w:rPr>
              <w:t xml:space="preserve">Mean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4">
            <w:pPr>
              <w:spacing w:line="240" w:lineRule="auto"/>
              <w:jc w:val="center"/>
              <w:rPr/>
            </w:pPr>
            <w:r>
              <w:rPr>
                <w:rFonts w:ascii="Times New Roman" w:cs="Times New Roman" w:eastAsia="Times New Roman" w:hAnsi="Times New Roman"/>
                <w:b w:val="1"/>
                <w:bCs w:val="1"/>
                <w:sz w:val="16"/>
                <w:szCs w:val="16"/>
                <w:rtl w:val="0"/>
              </w:rPr>
              <w:t xml:space="preserve">SD</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5">
            <w:pPr>
              <w:spacing w:line="240" w:lineRule="auto"/>
              <w:jc w:val="center"/>
              <w:rPr/>
            </w:pPr>
            <w:r>
              <w:rPr>
                <w:rFonts w:ascii="Times New Roman" w:cs="Times New Roman" w:eastAsia="Times New Roman" w:hAnsi="Times New Roman"/>
                <w:b w:val="1"/>
                <w:bCs w:val="1"/>
                <w:sz w:val="16"/>
                <w:szCs w:val="16"/>
                <w:rtl w:val="0"/>
              </w:rPr>
              <w:t xml:space="preserve">Min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6">
            <w:pPr>
              <w:spacing w:line="240" w:lineRule="auto"/>
              <w:jc w:val="center"/>
              <w:rPr/>
            </w:pPr>
            <w:r>
              <w:rPr>
                <w:rFonts w:ascii="Times New Roman" w:cs="Times New Roman" w:eastAsia="Times New Roman" w:hAnsi="Times New Roman"/>
                <w:b w:val="1"/>
                <w:bCs w:val="1"/>
                <w:sz w:val="16"/>
                <w:szCs w:val="16"/>
                <w:rtl w:val="0"/>
              </w:rPr>
              <w:t xml:space="preserve">Max</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7">
            <w:pPr>
              <w:spacing w:line="240" w:lineRule="auto"/>
              <w:jc w:val="center"/>
              <w:rPr/>
            </w:pPr>
            <w:r>
              <w:rPr>
                <w:rFonts w:ascii="Times New Roman" w:cs="Times New Roman" w:eastAsia="Times New Roman" w:hAnsi="Times New Roman"/>
                <w:b w:val="1"/>
                <w:bCs w:val="1"/>
                <w:sz w:val="16"/>
                <w:szCs w:val="16"/>
                <w:rtl w:val="0"/>
              </w:rPr>
              <w:t xml:space="preserve">p25</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8">
            <w:pPr>
              <w:spacing w:line="240" w:lineRule="auto"/>
              <w:jc w:val="center"/>
              <w:rPr/>
            </w:pPr>
            <w:r>
              <w:rPr>
                <w:rFonts w:ascii="Times New Roman" w:cs="Times New Roman" w:eastAsia="Times New Roman" w:hAnsi="Times New Roman"/>
                <w:b w:val="1"/>
                <w:bCs w:val="1"/>
                <w:sz w:val="16"/>
                <w:szCs w:val="16"/>
                <w:rtl w:val="0"/>
              </w:rPr>
              <w:t xml:space="preserve">p50</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9">
            <w:pPr>
              <w:spacing w:line="240" w:lineRule="auto"/>
              <w:jc w:val="center"/>
              <w:rPr/>
            </w:pPr>
            <w:r>
              <w:rPr>
                <w:rFonts w:ascii="Times New Roman" w:cs="Times New Roman" w:eastAsia="Times New Roman" w:hAnsi="Times New Roman"/>
                <w:b w:val="1"/>
                <w:bCs w:val="1"/>
                <w:sz w:val="16"/>
                <w:szCs w:val="16"/>
                <w:rtl w:val="0"/>
              </w:rPr>
              <w:t xml:space="preserve">p75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A">
            <w:pPr>
              <w:spacing w:line="240" w:lineRule="auto"/>
              <w:jc w:val="left"/>
              <w:rPr/>
            </w:pPr>
            <w:r>
              <w:rPr>
                <w:rFonts w:ascii="Times New Roman" w:cs="Times New Roman" w:eastAsia="Times New Roman" w:hAnsi="Times New Roman"/>
                <w:b w:val="0"/>
                <w:bCs w:val="0"/>
                <w:sz w:val="16"/>
                <w:szCs w:val="16"/>
                <w:rtl w:val="0"/>
              </w:rPr>
              <w:t xml:space="preserve">Ln(Labour productivity)</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B">
            <w:pPr>
              <w:spacing w:line="240" w:lineRule="auto"/>
              <w:jc w:val="center"/>
              <w:rPr/>
            </w:pPr>
            <w:r>
              <w:rPr>
                <w:rFonts w:ascii="Times New Roman" w:cs="Times New Roman" w:eastAsia="Times New Roman" w:hAnsi="Times New Roman"/>
                <w:b w:val="0"/>
                <w:bCs w:val="0"/>
                <w:sz w:val="16"/>
                <w:szCs w:val="16"/>
                <w:rtl w:val="0"/>
              </w:rPr>
              <w:t xml:space="preserve">11.42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C">
            <w:pPr>
              <w:spacing w:line="240" w:lineRule="auto"/>
              <w:jc w:val="center"/>
              <w:rPr/>
            </w:pPr>
            <w:r>
              <w:rPr>
                <w:rFonts w:ascii="Times New Roman" w:cs="Times New Roman" w:eastAsia="Times New Roman" w:hAnsi="Times New Roman"/>
                <w:b w:val="0"/>
                <w:bCs w:val="0"/>
                <w:sz w:val="16"/>
                <w:szCs w:val="16"/>
                <w:rtl w:val="0"/>
              </w:rPr>
              <w:t xml:space="preserve">1.18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D">
            <w:pPr>
              <w:spacing w:line="240" w:lineRule="auto"/>
              <w:jc w:val="center"/>
              <w:rPr/>
            </w:pPr>
            <w:r>
              <w:rPr>
                <w:rFonts w:ascii="Times New Roman" w:cs="Times New Roman" w:eastAsia="Times New Roman" w:hAnsi="Times New Roman"/>
                <w:b w:val="0"/>
                <w:bCs w:val="0"/>
                <w:sz w:val="16"/>
                <w:szCs w:val="16"/>
                <w:rtl w:val="0"/>
              </w:rPr>
              <w:t xml:space="preserve">7.89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E">
            <w:pPr>
              <w:spacing w:line="240" w:lineRule="auto"/>
              <w:jc w:val="center"/>
              <w:rPr/>
            </w:pPr>
            <w:r>
              <w:rPr>
                <w:rFonts w:ascii="Times New Roman" w:cs="Times New Roman" w:eastAsia="Times New Roman" w:hAnsi="Times New Roman"/>
                <w:b w:val="0"/>
                <w:bCs w:val="0"/>
                <w:sz w:val="16"/>
                <w:szCs w:val="16"/>
                <w:rtl w:val="0"/>
              </w:rPr>
              <w:t xml:space="preserve">15.21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F">
            <w:pPr>
              <w:spacing w:line="240" w:lineRule="auto"/>
              <w:jc w:val="center"/>
              <w:rPr/>
            </w:pPr>
            <w:r>
              <w:rPr>
                <w:rFonts w:ascii="Times New Roman" w:cs="Times New Roman" w:eastAsia="Times New Roman" w:hAnsi="Times New Roman"/>
                <w:b w:val="0"/>
                <w:bCs w:val="0"/>
                <w:sz w:val="16"/>
                <w:szCs w:val="16"/>
                <w:rtl w:val="0"/>
              </w:rPr>
              <w:t xml:space="preserve">10.62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0">
            <w:pPr>
              <w:spacing w:line="240" w:lineRule="auto"/>
              <w:jc w:val="center"/>
              <w:rPr/>
            </w:pPr>
            <w:r>
              <w:rPr>
                <w:rFonts w:ascii="Times New Roman" w:cs="Times New Roman" w:eastAsia="Times New Roman" w:hAnsi="Times New Roman"/>
                <w:b w:val="0"/>
                <w:bCs w:val="0"/>
                <w:sz w:val="16"/>
                <w:szCs w:val="16"/>
                <w:rtl w:val="0"/>
              </w:rPr>
              <w:t xml:space="preserve">11.40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1">
            <w:pPr>
              <w:spacing w:line="240" w:lineRule="auto"/>
              <w:jc w:val="center"/>
              <w:rPr/>
            </w:pPr>
            <w:r>
              <w:rPr>
                <w:rFonts w:ascii="Times New Roman" w:cs="Times New Roman" w:eastAsia="Times New Roman" w:hAnsi="Times New Roman"/>
                <w:b w:val="0"/>
                <w:bCs w:val="0"/>
                <w:sz w:val="16"/>
                <w:szCs w:val="16"/>
                <w:rtl w:val="0"/>
              </w:rPr>
              <w:t xml:space="preserve">12.21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2">
            <w:pPr>
              <w:spacing w:line="240" w:lineRule="auto"/>
              <w:jc w:val="left"/>
              <w:rPr/>
            </w:pPr>
            <w:r>
              <w:rPr>
                <w:rFonts w:ascii="Times New Roman" w:cs="Times New Roman" w:eastAsia="Times New Roman" w:hAnsi="Times New Roman"/>
                <w:b w:val="0"/>
                <w:bCs w:val="0"/>
                <w:sz w:val="16"/>
                <w:szCs w:val="16"/>
                <w:rtl w:val="0"/>
              </w:rPr>
              <w:t xml:space="preserve">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3">
            <w:pPr>
              <w:spacing w:line="240" w:lineRule="auto"/>
              <w:jc w:val="center"/>
              <w:rPr/>
            </w:pPr>
            <w:r>
              <w:rPr>
                <w:rFonts w:ascii="Times New Roman" w:cs="Times New Roman" w:eastAsia="Times New Roman" w:hAnsi="Times New Roman"/>
                <w:b w:val="0"/>
                <w:bCs w:val="0"/>
                <w:sz w:val="16"/>
                <w:szCs w:val="16"/>
                <w:rtl w:val="0"/>
              </w:rPr>
              <w:t xml:space="preserve">0.045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4">
            <w:pPr>
              <w:spacing w:line="240" w:lineRule="auto"/>
              <w:jc w:val="center"/>
              <w:rPr/>
            </w:pPr>
            <w:r>
              <w:rPr>
                <w:rFonts w:ascii="Times New Roman" w:cs="Times New Roman" w:eastAsia="Times New Roman" w:hAnsi="Times New Roman"/>
                <w:b w:val="0"/>
                <w:bCs w:val="0"/>
                <w:sz w:val="16"/>
                <w:szCs w:val="16"/>
                <w:rtl w:val="0"/>
              </w:rPr>
              <w:t xml:space="preserve">0.144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5">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6">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7">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8">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9">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A">
            <w:pPr>
              <w:spacing w:line="240" w:lineRule="auto"/>
              <w:jc w:val="left"/>
              <w:rPr/>
            </w:pPr>
            <w:r>
              <w:rPr>
                <w:rFonts w:ascii="Times New Roman" w:cs="Times New Roman" w:eastAsia="Times New Roman" w:hAnsi="Times New Roman"/>
                <w:b w:val="0"/>
                <w:bCs w:val="0"/>
                <w:sz w:val="16"/>
                <w:szCs w:val="16"/>
                <w:rtl w:val="0"/>
              </w:rPr>
              <w:t xml:space="preserve">FSTS²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B">
            <w:pPr>
              <w:spacing w:line="240" w:lineRule="auto"/>
              <w:jc w:val="center"/>
              <w:rPr/>
            </w:pPr>
            <w:r>
              <w:rPr>
                <w:rFonts w:ascii="Times New Roman" w:cs="Times New Roman" w:eastAsia="Times New Roman" w:hAnsi="Times New Roman"/>
                <w:b w:val="0"/>
                <w:bCs w:val="0"/>
                <w:sz w:val="16"/>
                <w:szCs w:val="16"/>
                <w:rtl w:val="0"/>
              </w:rPr>
              <w:t xml:space="preserve">0.022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C">
            <w:pPr>
              <w:spacing w:line="240" w:lineRule="auto"/>
              <w:jc w:val="center"/>
              <w:rPr/>
            </w:pPr>
            <w:r>
              <w:rPr>
                <w:rFonts w:ascii="Times New Roman" w:cs="Times New Roman" w:eastAsia="Times New Roman" w:hAnsi="Times New Roman"/>
                <w:b w:val="0"/>
                <w:bCs w:val="0"/>
                <w:sz w:val="16"/>
                <w:szCs w:val="16"/>
                <w:rtl w:val="0"/>
              </w:rPr>
              <w:t xml:space="preserve">0.085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D">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E">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F">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0">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1">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2">
            <w:pPr>
              <w:spacing w:line="240" w:lineRule="auto"/>
              <w:jc w:val="left"/>
              <w:rPr/>
            </w:pPr>
            <w:r>
              <w:rPr>
                <w:rFonts w:ascii="Times New Roman" w:cs="Times New Roman" w:eastAsia="Times New Roman" w:hAnsi="Times New Roman"/>
                <w:b w:val="0"/>
                <w:bCs w:val="0"/>
                <w:sz w:val="16"/>
                <w:szCs w:val="16"/>
                <w:rtl w:val="0"/>
              </w:rPr>
              <w:t xml:space="preserve">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3">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4">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5">
            <w:pPr>
              <w:spacing w:line="240" w:lineRule="auto"/>
              <w:jc w:val="center"/>
              <w:rPr/>
            </w:pPr>
            <w:r>
              <w:rPr>
                <w:rFonts w:ascii="Times New Roman" w:cs="Times New Roman" w:eastAsia="Times New Roman" w:hAnsi="Times New Roman"/>
                <w:b w:val="0"/>
                <w:bCs w:val="0"/>
                <w:sz w:val="16"/>
                <w:szCs w:val="16"/>
                <w:rtl w:val="0"/>
              </w:rPr>
              <w:t xml:space="preserve">-0.85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6">
            <w:pPr>
              <w:spacing w:line="240" w:lineRule="auto"/>
              <w:jc w:val="center"/>
              <w:rPr/>
            </w:pPr>
            <w:r>
              <w:rPr>
                <w:rFonts w:ascii="Times New Roman" w:cs="Times New Roman" w:eastAsia="Times New Roman" w:hAnsi="Times New Roman"/>
                <w:b w:val="0"/>
                <w:bCs w:val="0"/>
                <w:sz w:val="16"/>
                <w:szCs w:val="16"/>
                <w:rtl w:val="0"/>
              </w:rPr>
              <w:t xml:space="preserve">3.21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7">
            <w:pPr>
              <w:spacing w:line="240" w:lineRule="auto"/>
              <w:jc w:val="center"/>
              <w:rPr/>
            </w:pPr>
            <w:r>
              <w:rPr>
                <w:rFonts w:ascii="Times New Roman" w:cs="Times New Roman" w:eastAsia="Times New Roman" w:hAnsi="Times New Roman"/>
                <w:b w:val="0"/>
                <w:bCs w:val="0"/>
                <w:sz w:val="16"/>
                <w:szCs w:val="16"/>
                <w:rtl w:val="0"/>
              </w:rPr>
              <w:t xml:space="preserve">-0.85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8">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9">
            <w:pPr>
              <w:spacing w:line="240" w:lineRule="auto"/>
              <w:jc w:val="center"/>
              <w:rPr/>
            </w:pPr>
            <w:r>
              <w:rPr>
                <w:rFonts w:ascii="Times New Roman" w:cs="Times New Roman" w:eastAsia="Times New Roman" w:hAnsi="Times New Roman"/>
                <w:b w:val="0"/>
                <w:bCs w:val="0"/>
                <w:sz w:val="16"/>
                <w:szCs w:val="16"/>
                <w:rtl w:val="0"/>
              </w:rPr>
              <w:t xml:space="preserve">0.51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A">
            <w:pPr>
              <w:spacing w:line="240" w:lineRule="auto"/>
              <w:jc w:val="left"/>
              <w:rPr/>
            </w:pPr>
            <w:r>
              <w:rPr>
                <w:rFonts w:ascii="Times New Roman" w:cs="Times New Roman" w:eastAsia="Times New Roman" w:hAnsi="Times New Roman"/>
                <w:b w:val="0"/>
                <w:bCs w:val="0"/>
                <w:sz w:val="16"/>
                <w:szCs w:val="16"/>
                <w:rtl w:val="0"/>
              </w:rPr>
              <w:t xml:space="preserve">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B">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C">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D">
            <w:pPr>
              <w:spacing w:line="240" w:lineRule="auto"/>
              <w:jc w:val="center"/>
              <w:rPr/>
            </w:pPr>
            <w:r>
              <w:rPr>
                <w:rFonts w:ascii="Times New Roman" w:cs="Times New Roman" w:eastAsia="Times New Roman" w:hAnsi="Times New Roman"/>
                <w:b w:val="0"/>
                <w:bCs w:val="0"/>
                <w:sz w:val="16"/>
                <w:szCs w:val="16"/>
                <w:rtl w:val="0"/>
              </w:rPr>
              <w:t xml:space="preserve">-1.42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E">
            <w:pPr>
              <w:spacing w:line="240" w:lineRule="auto"/>
              <w:jc w:val="center"/>
              <w:rPr/>
            </w:pPr>
            <w:r>
              <w:rPr>
                <w:rFonts w:ascii="Times New Roman" w:cs="Times New Roman" w:eastAsia="Times New Roman" w:hAnsi="Times New Roman"/>
                <w:b w:val="0"/>
                <w:bCs w:val="0"/>
                <w:sz w:val="16"/>
                <w:szCs w:val="16"/>
                <w:rtl w:val="0"/>
              </w:rPr>
              <w:t xml:space="preserve">1.96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F">
            <w:pPr>
              <w:spacing w:line="240" w:lineRule="auto"/>
              <w:jc w:val="center"/>
              <w:rPr/>
            </w:pPr>
            <w:r>
              <w:rPr>
                <w:rFonts w:ascii="Times New Roman" w:cs="Times New Roman" w:eastAsia="Times New Roman" w:hAnsi="Times New Roman"/>
                <w:b w:val="0"/>
                <w:bCs w:val="0"/>
                <w:sz w:val="16"/>
                <w:szCs w:val="16"/>
                <w:rtl w:val="0"/>
              </w:rPr>
              <w:t xml:space="preserve">-0.81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0">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1">
            <w:pPr>
              <w:spacing w:line="240" w:lineRule="auto"/>
              <w:jc w:val="center"/>
              <w:rPr/>
            </w:pPr>
            <w:r>
              <w:rPr>
                <w:rFonts w:ascii="Times New Roman" w:cs="Times New Roman" w:eastAsia="Times New Roman" w:hAnsi="Times New Roman"/>
                <w:b w:val="0"/>
                <w:bCs w:val="0"/>
                <w:sz w:val="16"/>
                <w:szCs w:val="16"/>
                <w:rtl w:val="0"/>
              </w:rPr>
              <w:t xml:space="preserve">0.94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2">
            <w:pPr>
              <w:spacing w:line="240" w:lineRule="auto"/>
              <w:jc w:val="left"/>
              <w:rPr/>
            </w:pPr>
            <w:r>
              <w:rPr>
                <w:rFonts w:ascii="Times New Roman" w:cs="Times New Roman" w:eastAsia="Times New Roman" w:hAnsi="Times New Roman"/>
                <w:b w:val="0"/>
                <w:bCs w:val="0"/>
                <w:sz w:val="16"/>
                <w:szCs w:val="16"/>
                <w:rtl w:val="0"/>
              </w:rPr>
              <w:t xml:space="preserve">Firm size (ln_empl)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3">
            <w:pPr>
              <w:spacing w:line="240" w:lineRule="auto"/>
              <w:jc w:val="center"/>
              <w:rPr/>
            </w:pPr>
            <w:r>
              <w:rPr>
                <w:rFonts w:ascii="Times New Roman" w:cs="Times New Roman" w:eastAsia="Times New Roman" w:hAnsi="Times New Roman"/>
                <w:b w:val="0"/>
                <w:bCs w:val="0"/>
                <w:sz w:val="16"/>
                <w:szCs w:val="16"/>
                <w:rtl w:val="0"/>
              </w:rPr>
              <w:t xml:space="preserve">3.21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4">
            <w:pPr>
              <w:spacing w:line="240" w:lineRule="auto"/>
              <w:jc w:val="center"/>
              <w:rPr/>
            </w:pPr>
            <w:r>
              <w:rPr>
                <w:rFonts w:ascii="Times New Roman" w:cs="Times New Roman" w:eastAsia="Times New Roman" w:hAnsi="Times New Roman"/>
                <w:b w:val="0"/>
                <w:bCs w:val="0"/>
                <w:sz w:val="16"/>
                <w:szCs w:val="16"/>
                <w:rtl w:val="0"/>
              </w:rPr>
              <w:t xml:space="preserve">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5">
            <w:pPr>
              <w:spacing w:line="240" w:lineRule="auto"/>
              <w:jc w:val="center"/>
              <w:rPr/>
            </w:pPr>
            <w:r>
              <w:rPr>
                <w:rFonts w:ascii="Times New Roman" w:cs="Times New Roman" w:eastAsia="Times New Roman" w:hAnsi="Times New Roman"/>
                <w:b w:val="0"/>
                <w:bCs w:val="0"/>
                <w:sz w:val="16"/>
                <w:szCs w:val="16"/>
                <w:rtl w:val="0"/>
              </w:rPr>
              <w:t xml:space="preserve">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6">
            <w:pPr>
              <w:spacing w:line="240" w:lineRule="auto"/>
              <w:jc w:val="center"/>
              <w:rPr/>
            </w:pPr>
            <w:r>
              <w:rPr>
                <w:rFonts w:ascii="Times New Roman" w:cs="Times New Roman" w:eastAsia="Times New Roman" w:hAnsi="Times New Roman"/>
                <w:b w:val="0"/>
                <w:bCs w:val="0"/>
                <w:sz w:val="16"/>
                <w:szCs w:val="16"/>
                <w:rtl w:val="0"/>
              </w:rPr>
              <w:t xml:space="preserve">8.85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7">
            <w:pPr>
              <w:spacing w:line="240" w:lineRule="auto"/>
              <w:jc w:val="center"/>
              <w:rPr/>
            </w:pPr>
            <w:r>
              <w:rPr>
                <w:rFonts w:ascii="Times New Roman" w:cs="Times New Roman" w:eastAsia="Times New Roman" w:hAnsi="Times New Roman"/>
                <w:b w:val="0"/>
                <w:bCs w:val="0"/>
                <w:sz w:val="16"/>
                <w:szCs w:val="16"/>
                <w:rtl w:val="0"/>
              </w:rPr>
              <w:t xml:space="preserve">2.20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8">
            <w:pPr>
              <w:spacing w:line="240" w:lineRule="auto"/>
              <w:jc w:val="center"/>
              <w:rPr/>
            </w:pPr>
            <w:r>
              <w:rPr>
                <w:rFonts w:ascii="Times New Roman" w:cs="Times New Roman" w:eastAsia="Times New Roman" w:hAnsi="Times New Roman"/>
                <w:b w:val="0"/>
                <w:bCs w:val="0"/>
                <w:sz w:val="16"/>
                <w:szCs w:val="16"/>
                <w:rtl w:val="0"/>
              </w:rPr>
              <w:t xml:space="preserve">3.18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9">
            <w:pPr>
              <w:spacing w:line="240" w:lineRule="auto"/>
              <w:jc w:val="center"/>
              <w:rPr/>
            </w:pPr>
            <w:r>
              <w:rPr>
                <w:rFonts w:ascii="Times New Roman" w:cs="Times New Roman" w:eastAsia="Times New Roman" w:hAnsi="Times New Roman"/>
                <w:b w:val="0"/>
                <w:bCs w:val="0"/>
                <w:sz w:val="16"/>
                <w:szCs w:val="16"/>
                <w:rtl w:val="0"/>
              </w:rPr>
              <w:t xml:space="preserve">4.25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A">
            <w:pPr>
              <w:spacing w:line="240" w:lineRule="auto"/>
              <w:jc w:val="left"/>
              <w:rPr/>
            </w:pPr>
            <w:r>
              <w:rPr>
                <w:rFonts w:ascii="Times New Roman" w:cs="Times New Roman" w:eastAsia="Times New Roman" w:hAnsi="Times New Roman"/>
                <w:b w:val="0"/>
                <w:bCs w:val="0"/>
                <w:sz w:val="16"/>
                <w:szCs w:val="16"/>
                <w:rtl w:val="0"/>
              </w:rPr>
              <w:t xml:space="preserve">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B">
            <w:pPr>
              <w:spacing w:line="240" w:lineRule="auto"/>
              <w:jc w:val="center"/>
              <w:rPr/>
            </w:pPr>
            <w:r>
              <w:rPr>
                <w:rFonts w:ascii="Times New Roman" w:cs="Times New Roman" w:eastAsia="Times New Roman" w:hAnsi="Times New Roman"/>
                <w:b w:val="0"/>
                <w:bCs w:val="0"/>
                <w:sz w:val="16"/>
                <w:szCs w:val="16"/>
                <w:rtl w:val="0"/>
              </w:rPr>
              <w:t xml:space="preserve">21.4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C">
            <w:pPr>
              <w:spacing w:line="240" w:lineRule="auto"/>
              <w:jc w:val="center"/>
              <w:rPr/>
            </w:pPr>
            <w:r>
              <w:rPr>
                <w:rFonts w:ascii="Times New Roman" w:cs="Times New Roman" w:eastAsia="Times New Roman" w:hAnsi="Times New Roman"/>
                <w:b w:val="0"/>
                <w:bCs w:val="0"/>
                <w:sz w:val="16"/>
                <w:szCs w:val="16"/>
                <w:rtl w:val="0"/>
              </w:rPr>
              <w:t xml:space="preserve">14.8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D">
            <w:pPr>
              <w:spacing w:line="240" w:lineRule="auto"/>
              <w:jc w:val="center"/>
              <w:rPr/>
            </w:pPr>
            <w:r>
              <w:rPr>
                <w:rFonts w:ascii="Times New Roman" w:cs="Times New Roman" w:eastAsia="Times New Roman" w:hAnsi="Times New Roman"/>
                <w:b w:val="0"/>
                <w:bCs w:val="0"/>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E">
            <w:pPr>
              <w:spacing w:line="240" w:lineRule="auto"/>
              <w:jc w:val="center"/>
              <w:rPr/>
            </w:pPr>
            <w:r>
              <w:rPr>
                <w:rFonts w:ascii="Times New Roman" w:cs="Times New Roman" w:eastAsia="Times New Roman" w:hAnsi="Times New Roman"/>
                <w:b w:val="0"/>
                <w:bCs w:val="0"/>
                <w:sz w:val="16"/>
                <w:szCs w:val="16"/>
                <w:rtl w:val="0"/>
              </w:rPr>
              <w:t xml:space="preserve">98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F">
            <w:pPr>
              <w:spacing w:line="240" w:lineRule="auto"/>
              <w:jc w:val="center"/>
              <w:rPr/>
            </w:pPr>
            <w:r>
              <w:rPr>
                <w:rFonts w:ascii="Times New Roman" w:cs="Times New Roman" w:eastAsia="Times New Roman" w:hAnsi="Times New Roman"/>
                <w:b w:val="0"/>
                <w:bCs w:val="0"/>
                <w:sz w:val="16"/>
                <w:szCs w:val="16"/>
                <w:rtl w:val="0"/>
              </w:rPr>
              <w:t xml:space="preserve">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0">
            <w:pPr>
              <w:spacing w:line="240" w:lineRule="auto"/>
              <w:jc w:val="center"/>
              <w:rPr/>
            </w:pPr>
            <w:r>
              <w:rPr>
                <w:rFonts w:ascii="Times New Roman" w:cs="Times New Roman" w:eastAsia="Times New Roman" w:hAnsi="Times New Roman"/>
                <w:b w:val="0"/>
                <w:bCs w:val="0"/>
                <w:sz w:val="16"/>
                <w:szCs w:val="16"/>
                <w:rtl w:val="0"/>
              </w:rPr>
              <w:t xml:space="preserve">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1">
            <w:pPr>
              <w:spacing w:line="240" w:lineRule="auto"/>
              <w:jc w:val="center"/>
              <w:rPr/>
            </w:pPr>
            <w:r>
              <w:rPr>
                <w:rFonts w:ascii="Times New Roman" w:cs="Times New Roman" w:eastAsia="Times New Roman" w:hAnsi="Times New Roman"/>
                <w:b w:val="0"/>
                <w:bCs w:val="0"/>
                <w:sz w:val="16"/>
                <w:szCs w:val="16"/>
                <w:rtl w:val="0"/>
              </w:rPr>
              <w:t xml:space="preserve">30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2">
            <w:pPr>
              <w:spacing w:line="240" w:lineRule="auto"/>
              <w:jc w:val="left"/>
              <w:rPr/>
            </w:pPr>
            <w:r>
              <w:rPr>
                <w:rFonts w:ascii="Times New Roman" w:cs="Times New Roman" w:eastAsia="Times New Roman" w:hAnsi="Times New Roman"/>
                <w:b w:val="0"/>
                <w:bCs w:val="0"/>
                <w:sz w:val="16"/>
                <w:szCs w:val="16"/>
                <w:rtl w:val="0"/>
              </w:rPr>
              <w:t xml:space="preserve">Foreign-owned (0/1)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3">
            <w:pPr>
              <w:spacing w:line="240" w:lineRule="auto"/>
              <w:jc w:val="center"/>
              <w:rPr/>
            </w:pPr>
            <w:r>
              <w:rPr>
                <w:rFonts w:ascii="Times New Roman" w:cs="Times New Roman" w:eastAsia="Times New Roman" w:hAnsi="Times New Roman"/>
                <w:b w:val="0"/>
                <w:bCs w:val="0"/>
                <w:sz w:val="16"/>
                <w:szCs w:val="16"/>
                <w:rtl w:val="0"/>
              </w:rPr>
              <w:t xml:space="preserve">0.119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4">
            <w:pPr>
              <w:spacing w:line="240" w:lineRule="auto"/>
              <w:jc w:val="center"/>
              <w:rPr/>
            </w:pPr>
            <w:r>
              <w:rPr>
                <w:rFonts w:ascii="Times New Roman" w:cs="Times New Roman" w:eastAsia="Times New Roman" w:hAnsi="Times New Roman"/>
                <w:b w:val="0"/>
                <w:bCs w:val="0"/>
                <w:sz w:val="16"/>
                <w:szCs w:val="16"/>
                <w:rtl w:val="0"/>
              </w:rPr>
              <w:t xml:space="preserve">0.324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5">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6">
            <w:pPr>
              <w:spacing w:line="240" w:lineRule="auto"/>
              <w:jc w:val="center"/>
              <w:rPr/>
            </w:pPr>
            <w:r>
              <w:rPr>
                <w:rFonts w:ascii="Times New Roman" w:cs="Times New Roman" w:eastAsia="Times New Roman" w:hAnsi="Times New Roman"/>
                <w:b w:val="0"/>
                <w:bCs w:val="0"/>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7">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8">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9">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A">
            <w:pPr>
              <w:spacing w:line="240" w:lineRule="auto"/>
              <w:jc w:val="left"/>
              <w:rPr/>
            </w:pPr>
            <w:r>
              <w:rPr>
                <w:rFonts w:ascii="Times New Roman" w:cs="Times New Roman" w:eastAsia="Times New Roman" w:hAnsi="Times New Roman"/>
                <w:b w:val="1"/>
                <w:bCs w:val="1"/>
                <w:sz w:val="16"/>
                <w:szCs w:val="16"/>
                <w:rtl w:val="0"/>
              </w:rPr>
              <w:t xml:space="preserve">Panel B: Pairwise Correlations</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B">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C">
            <w:pPr>
              <w:spacing w:line="240" w:lineRule="auto"/>
              <w:jc w:val="center"/>
              <w:rPr/>
            </w:pPr>
            <w:r>
              <w:rPr>
                <w:rFonts w:ascii="Times New Roman" w:cs="Times New Roman" w:eastAsia="Times New Roman" w:hAnsi="Times New Roman"/>
                <w:b w:val="1"/>
                <w:bCs w:val="1"/>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D">
            <w:pPr>
              <w:spacing w:line="240" w:lineRule="auto"/>
              <w:jc w:val="center"/>
              <w:rPr/>
            </w:pPr>
            <w:r>
              <w:rPr>
                <w:rFonts w:ascii="Times New Roman" w:cs="Times New Roman" w:eastAsia="Times New Roman" w:hAnsi="Times New Roman"/>
                <w:b w:val="1"/>
                <w:bCs w:val="1"/>
                <w:sz w:val="16"/>
                <w:szCs w:val="16"/>
                <w:rtl w:val="0"/>
              </w:rPr>
              <w:t xml:space="preserve">2</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E">
            <w:pPr>
              <w:spacing w:line="240" w:lineRule="auto"/>
              <w:jc w:val="center"/>
              <w:rPr/>
            </w:pPr>
            <w:r>
              <w:rPr>
                <w:rFonts w:ascii="Times New Roman" w:cs="Times New Roman" w:eastAsia="Times New Roman" w:hAnsi="Times New Roman"/>
                <w:b w:val="1"/>
                <w:bCs w:val="1"/>
                <w:sz w:val="16"/>
                <w:szCs w:val="16"/>
                <w:rtl w:val="0"/>
              </w:rPr>
              <w:t xml:space="preserve">3</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F">
            <w:pPr>
              <w:spacing w:line="240" w:lineRule="auto"/>
              <w:jc w:val="center"/>
              <w:rPr/>
            </w:pPr>
            <w:r>
              <w:rPr>
                <w:rFonts w:ascii="Times New Roman" w:cs="Times New Roman" w:eastAsia="Times New Roman" w:hAnsi="Times New Roman"/>
                <w:b w:val="1"/>
                <w:bCs w:val="1"/>
                <w:sz w:val="16"/>
                <w:szCs w:val="16"/>
                <w:rtl w:val="0"/>
              </w:rPr>
              <w:t xml:space="preserve">4</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0">
            <w:pPr>
              <w:spacing w:line="240" w:lineRule="auto"/>
              <w:jc w:val="center"/>
              <w:rPr/>
            </w:pPr>
            <w:r>
              <w:rPr>
                <w:rFonts w:ascii="Times New Roman" w:cs="Times New Roman" w:eastAsia="Times New Roman" w:hAnsi="Times New Roman"/>
                <w:b w:val="1"/>
                <w:bCs w:val="1"/>
                <w:sz w:val="16"/>
                <w:szCs w:val="16"/>
                <w:rtl w:val="0"/>
              </w:rPr>
              <w:t xml:space="preserve">5</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1">
            <w:pPr>
              <w:spacing w:line="240" w:lineRule="auto"/>
              <w:jc w:val="center"/>
              <w:rPr/>
            </w:pPr>
            <w:r>
              <w:rPr>
                <w:rFonts w:ascii="Times New Roman" w:cs="Times New Roman" w:eastAsia="Times New Roman" w:hAnsi="Times New Roman"/>
                <w:b w:val="1"/>
                <w:bCs w:val="1"/>
                <w:sz w:val="16"/>
                <w:szCs w:val="16"/>
                <w:rtl w:val="0"/>
              </w:rPr>
              <w:t xml:space="preserve">6</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2">
            <w:pPr>
              <w:spacing w:line="240" w:lineRule="auto"/>
              <w:jc w:val="center"/>
              <w:rPr/>
            </w:pPr>
            <w:r>
              <w:rPr>
                <w:rFonts w:ascii="Times New Roman" w:cs="Times New Roman" w:eastAsia="Times New Roman" w:hAnsi="Times New Roman"/>
                <w:b w:val="1"/>
                <w:bCs w:val="1"/>
                <w:sz w:val="16"/>
                <w:szCs w:val="16"/>
                <w:rtl w:val="0"/>
              </w:rPr>
              <w:t xml:space="preserve">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3">
            <w:pPr>
              <w:spacing w:line="240" w:lineRule="auto"/>
              <w:jc w:val="left"/>
              <w:rPr/>
            </w:pPr>
            <w:r>
              <w:rPr>
                <w:rFonts w:ascii="Times New Roman" w:cs="Times New Roman" w:eastAsia="Times New Roman" w:hAnsi="Times New Roman"/>
                <w:b w:val="0"/>
                <w:bCs w:val="0"/>
                <w:sz w:val="16"/>
                <w:szCs w:val="16"/>
                <w:rtl w:val="0"/>
              </w:rPr>
              <w:t xml:space="preserve">1. Ln(Lab. prod.)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4">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B">
            <w:pPr>
              <w:spacing w:line="240" w:lineRule="auto"/>
              <w:jc w:val="left"/>
              <w:rPr/>
            </w:pPr>
            <w:r>
              <w:rPr>
                <w:rFonts w:ascii="Times New Roman" w:cs="Times New Roman" w:eastAsia="Times New Roman" w:hAnsi="Times New Roman"/>
                <w:b w:val="0"/>
                <w:bCs w:val="0"/>
                <w:sz w:val="16"/>
                <w:szCs w:val="16"/>
                <w:rtl w:val="0"/>
              </w:rPr>
              <w:t xml:space="preserve">2. 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C">
            <w:pPr>
              <w:spacing w:line="240" w:lineRule="auto"/>
              <w:jc w:val="center"/>
              <w:rPr/>
            </w:pPr>
            <w:r>
              <w:rPr>
                <w:rFonts w:ascii="Times New Roman" w:cs="Times New Roman" w:eastAsia="Times New Roman" w:hAnsi="Times New Roman"/>
                <w:b w:val="0"/>
                <w:bCs w:val="0"/>
                <w:sz w:val="16"/>
                <w:szCs w:val="16"/>
                <w:rtl w:val="0"/>
              </w:rPr>
              <w:t xml:space="preserve">0.13***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D">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3">
            <w:pPr>
              <w:spacing w:line="240" w:lineRule="auto"/>
              <w:jc w:val="left"/>
              <w:rPr/>
            </w:pPr>
            <w:r>
              <w:rPr>
                <w:rFonts w:ascii="Times New Roman" w:cs="Times New Roman" w:eastAsia="Times New Roman" w:hAnsi="Times New Roman"/>
                <w:b w:val="0"/>
                <w:bCs w:val="0"/>
                <w:sz w:val="16"/>
                <w:szCs w:val="16"/>
                <w:rtl w:val="0"/>
              </w:rPr>
              <w:t xml:space="preserve">3. 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4">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5">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6">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B">
            <w:pPr>
              <w:spacing w:line="240" w:lineRule="auto"/>
              <w:jc w:val="left"/>
              <w:rPr/>
            </w:pPr>
            <w:r>
              <w:rPr>
                <w:rFonts w:ascii="Times New Roman" w:cs="Times New Roman" w:eastAsia="Times New Roman" w:hAnsi="Times New Roman"/>
                <w:b w:val="0"/>
                <w:bCs w:val="0"/>
                <w:sz w:val="16"/>
                <w:szCs w:val="16"/>
                <w:rtl w:val="0"/>
              </w:rPr>
              <w:t xml:space="preserve">4. 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C">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D">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E">
            <w:pPr>
              <w:spacing w:line="240" w:lineRule="auto"/>
              <w:jc w:val="center"/>
              <w:rPr/>
            </w:pPr>
            <w:r>
              <w:rPr>
                <w:rFonts w:ascii="Times New Roman" w:cs="Times New Roman" w:eastAsia="Times New Roman" w:hAnsi="Times New Roman"/>
                <w:b w:val="0"/>
                <w:bCs w:val="0"/>
                <w:sz w:val="16"/>
                <w:szCs w:val="16"/>
                <w:rtl w:val="0"/>
              </w:rPr>
              <w:t xml:space="preserve">0.31***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F">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3">
            <w:pPr>
              <w:spacing w:line="240" w:lineRule="auto"/>
              <w:jc w:val="left"/>
              <w:rPr/>
            </w:pPr>
            <w:r>
              <w:rPr>
                <w:rFonts w:ascii="Times New Roman" w:cs="Times New Roman" w:eastAsia="Times New Roman" w:hAnsi="Times New Roman"/>
                <w:b w:val="0"/>
                <w:bCs w:val="0"/>
                <w:sz w:val="16"/>
                <w:szCs w:val="16"/>
                <w:rtl w:val="0"/>
              </w:rPr>
              <w:t xml:space="preserve">5. Firm size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4">
            <w:pPr>
              <w:spacing w:line="240" w:lineRule="auto"/>
              <w:jc w:val="center"/>
              <w:rPr/>
            </w:pPr>
            <w:r>
              <w:rPr>
                <w:rFonts w:ascii="Times New Roman" w:cs="Times New Roman" w:eastAsia="Times New Roman" w:hAnsi="Times New Roman"/>
                <w:b w:val="0"/>
                <w:bCs w:val="0"/>
                <w:sz w:val="16"/>
                <w:szCs w:val="16"/>
                <w:rtl w:val="0"/>
              </w:rPr>
              <w:t xml:space="preserve">-0.04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5">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6">
            <w:pPr>
              <w:spacing w:line="240" w:lineRule="auto"/>
              <w:jc w:val="center"/>
              <w:rPr/>
            </w:pPr>
            <w:r>
              <w:rPr>
                <w:rFonts w:ascii="Times New Roman" w:cs="Times New Roman" w:eastAsia="Times New Roman" w:hAnsi="Times New Roman"/>
                <w:b w:val="0"/>
                <w:bCs w:val="0"/>
                <w:sz w:val="16"/>
                <w:szCs w:val="16"/>
                <w:rtl w:val="0"/>
              </w:rPr>
              <w:t xml:space="preserve">0.34***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7">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8">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B">
            <w:pPr>
              <w:spacing w:line="240" w:lineRule="auto"/>
              <w:jc w:val="left"/>
              <w:rPr/>
            </w:pPr>
            <w:r>
              <w:rPr>
                <w:rFonts w:ascii="Times New Roman" w:cs="Times New Roman" w:eastAsia="Times New Roman" w:hAnsi="Times New Roman"/>
                <w:b w:val="0"/>
                <w:bCs w:val="0"/>
                <w:sz w:val="16"/>
                <w:szCs w:val="16"/>
                <w:rtl w:val="0"/>
              </w:rPr>
              <w:t xml:space="preserve">6. 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C">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D">
            <w:pPr>
              <w:spacing w:line="240" w:lineRule="auto"/>
              <w:jc w:val="center"/>
              <w:rPr/>
            </w:pPr>
            <w:r>
              <w:rPr>
                <w:rFonts w:ascii="Times New Roman" w:cs="Times New Roman" w:eastAsia="Times New Roman" w:hAnsi="Times New Roman"/>
                <w:b w:val="0"/>
                <w:bCs w:val="0"/>
                <w:sz w:val="16"/>
                <w:szCs w:val="16"/>
                <w:rtl w:val="0"/>
              </w:rPr>
              <w:t xml:space="preserve">0.06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E">
            <w:pPr>
              <w:spacing w:line="240" w:lineRule="auto"/>
              <w:jc w:val="center"/>
              <w:rPr/>
            </w:pPr>
            <w:r>
              <w:rPr>
                <w:rFonts w:ascii="Times New Roman" w:cs="Times New Roman" w:eastAsia="Times New Roman" w:hAnsi="Times New Roman"/>
                <w:b w:val="0"/>
                <w:bCs w:val="0"/>
                <w:sz w:val="16"/>
                <w:szCs w:val="16"/>
                <w:rtl w:val="0"/>
              </w:rPr>
              <w:t xml:space="preserve">0.07†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F">
            <w:pPr>
              <w:spacing w:line="240" w:lineRule="auto"/>
              <w:jc w:val="center"/>
              <w:rPr/>
            </w:pPr>
            <w:r>
              <w:rPr>
                <w:rFonts w:ascii="Times New Roman" w:cs="Times New Roman" w:eastAsia="Times New Roman" w:hAnsi="Times New Roman"/>
                <w:b w:val="0"/>
                <w:bCs w:val="0"/>
                <w:sz w:val="16"/>
                <w:szCs w:val="16"/>
                <w:rtl w:val="0"/>
              </w:rPr>
              <w:t xml:space="preserve">0.04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0">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1">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3">
            <w:pPr>
              <w:spacing w:line="240" w:lineRule="auto"/>
              <w:jc w:val="left"/>
              <w:rPr/>
            </w:pPr>
            <w:r>
              <w:rPr>
                <w:rFonts w:ascii="Times New Roman" w:cs="Times New Roman" w:eastAsia="Times New Roman" w:hAnsi="Times New Roman"/>
                <w:b w:val="0"/>
                <w:bCs w:val="0"/>
                <w:sz w:val="16"/>
                <w:szCs w:val="16"/>
                <w:rtl w:val="0"/>
              </w:rPr>
              <w:t xml:space="preserve">7. Foreign-owned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4">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5">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6">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7">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8">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9">
            <w:pPr>
              <w:spacing w:line="240" w:lineRule="auto"/>
              <w:jc w:val="center"/>
              <w:rPr/>
            </w:pPr>
            <w:r>
              <w:rPr>
                <w:rFonts w:ascii="Times New Roman" w:cs="Times New Roman" w:eastAsia="Times New Roman" w:hAnsi="Times New Roman"/>
                <w:b w:val="0"/>
                <w:bCs w:val="0"/>
                <w:sz w:val="16"/>
                <w:szCs w:val="16"/>
                <w:rtl w:val="0"/>
              </w:rPr>
              <w:t xml:space="preserve">-0.05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A">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r>
    </w:tbl>
    <w:p w:rsidR="00000000" w:rsidDel="00000000" w:rsidP="00000000" w:rsidRDefault="00000000" w:rsidRPr="00000000" w14:paraId="000000CB">
      <w:pPr>
        <w:spacing w:after="60" w:line="480" w:lineRule="auto"/>
        <w:jc w:val="left"/>
        <w:rPr/>
      </w:pPr>
      <w:r>
        <w:rPr>
          <w:rtl w:val="0"/>
        </w:rPr>
      </w:r>
    </w:p>
    <w:p w:rsidR="00000000" w:rsidDel="00000000" w:rsidP="00000000" w:rsidRDefault="00000000" w:rsidRPr="00000000" w14:paraId="000000CC">
      <w:pPr>
        <w:spacing w:after="240" w:line="480" w:lineRule="auto"/>
        <w:jc w:val="left"/>
        <w:rPr/>
      </w:pPr>
      <w:r>
        <w:rPr>
          <w:rFonts w:ascii="Times New Roman" w:cs="Times New Roman" w:eastAsia="Times New Roman" w:hAnsi="Times New Roman"/>
          <w:i w:val="1"/>
          <w:iCs w:val="1"/>
          <w:sz w:val="16"/>
          <w:szCs w:val="16"/>
          <w:rtl w:val="0"/>
        </w:rPr>
        <w:t>Notes: N = 623. TCI and DAI are z-standardized formative composites. FSTS is the share of annual sales accounted for by direct exports. Two-tailed significance levels are reported as follows: p &lt; .10, p &lt; .05, p &lt; .01.</w:t>
      </w:r>
      <w:r>
        <w:rPr>
          <w:rtl w:val="0"/>
        </w:rPr>
      </w:r>
    </w:p>
    <w:p w:rsidR="00000000" w:rsidDel="00000000" w:rsidP="00000000" w:rsidRDefault="00000000" w:rsidRPr="00000000" w14:paraId="000000CD">
      <w:pPr>
        <w:spacing w:after="160" w:before="280" w:lineRule="auto"/>
        <w:jc w:val="left"/>
        <w:rPr/>
      </w:pPr>
      <w:r>
        <w:rPr>
          <w:rFonts w:ascii="Times New Roman" w:cs="Times New Roman" w:eastAsia="Times New Roman" w:hAnsi="Times New Roman"/>
          <w:b w:val="1"/>
          <w:bCs w:val="1"/>
          <w:sz w:val="22"/>
          <w:szCs w:val="22"/>
          <w:rtl w:val="0"/>
        </w:rPr>
        <w:t xml:space="preserve">4.2 The I–P relationship: primarily monotonic with mild curvature</w:t>
      </w:r>
      <w:r>
        <w:rPr>
          <w:rtl w:val="0"/>
        </w:rPr>
      </w:r>
    </w:p>
    <w:p w:rsidR="00000000" w:rsidDel="00000000" w:rsidP="00000000" w:rsidRDefault="00000000" w:rsidRPr="00000000" w14:paraId="000000CE">
      <w:pPr>
        <w:spacing w:after="0" w:line="480" w:lineRule="auto"/>
        <w:ind w:firstLine="720"/>
        <w:jc w:val="both"/>
        <w:rPr/>
      </w:pPr>
      <w:r>
        <w:rPr>
          <w:rFonts w:ascii="Cardo" w:cs="Cardo" w:eastAsia="Cardo" w:hAnsi="Cardo"/>
          <w:sz w:val="20"/>
          <w:szCs w:val="20"/>
          <w:rtl w:val="0"/>
        </w:rPr>
        <w:t>In the baseline quadratic specification (Model M2), the linear FSTS term is positive and statistically significant, whereas the squared term is negative and only marginally significant.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r>
        <w:rPr>
          <w:rtl w:val="0"/>
        </w:rPr>
      </w:r>
    </w:p>
    <w:p w:rsidR="00000000" w:rsidDel="00000000" w:rsidP="00000000" w:rsidRDefault="00000000" w:rsidRPr="00000000" w14:paraId="000000CE">
      <w:pPr>
        <w:spacing w:after="0" w:line="480" w:lineRule="auto"/>
        <w:ind w:firstLine="720"/>
        <w:jc w:val="both"/>
        <w:rPr/>
      </w:pPr>
      <w:r>
        <w:rPr>
          <w:rFonts w:ascii="Cardo" w:cs="Cardo" w:eastAsia="Cardo" w:hAnsi="Cardo"/>
          <w:sz w:val="20"/>
          <w:szCs w:val="20"/>
          <w:rtl w:val="0"/>
        </w:rPr>
      </w:r>
      <w:r>
        <w:rPr>
          <w:rtl w:val="0"/>
        </w:rPr>
      </w:r>
    </w:p>
    <w:p w:rsidR="00000000" w:rsidDel="00000000" w:rsidP="00000000" w:rsidRDefault="00000000" w:rsidRPr="00000000" w14:paraId="000000CF">
      <w:pPr>
        <w:spacing w:after="160" w:before="280" w:lineRule="auto"/>
        <w:jc w:val="left"/>
        <w:rPr/>
      </w:pPr>
      <w:r>
        <w:rPr>
          <w:rFonts w:ascii="Times New Roman" w:cs="Times New Roman" w:eastAsia="Times New Roman" w:hAnsi="Times New Roman"/>
          <w:b w:val="1"/>
          <w:bCs w:val="1"/>
          <w:sz w:val="22"/>
          <w:szCs w:val="22"/>
          <w:rtl w:val="0"/>
        </w:rPr>
        <w:t>4.3 TCI results</w:t>
      </w:r>
      <w:r>
        <w:rPr>
          <w:rtl w:val="0"/>
        </w:rPr>
      </w:r>
    </w:p>
    <w:p w:rsidR="00000000" w:rsidDel="00000000" w:rsidP="00000000" w:rsidRDefault="00000000" w:rsidRPr="00000000" w14:paraId="000000D0">
      <w:pPr>
        <w:spacing w:after="0" w:line="480" w:lineRule="auto"/>
        <w:ind w:firstLine="720"/>
        <w:jc w:val="both"/>
        <w:rPr/>
      </w:pPr>
      <w:r>
        <w:rPr>
          <w:rFonts w:ascii="Times New Roman" w:cs="Times New Roman" w:eastAsia="Times New Roman" w:hAnsi="Times New Roman"/>
          <w:sz w:val="20"/>
          <w:szCs w:val="20"/>
          <w:rtl w:val="0"/>
        </w:rPr>
        <w:t>The direct-effect model for technological capability (Model M5) shows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rPr>
          <w:rtl w:val="0"/>
        </w:rPr>
      </w:r>
    </w:p>
    <w:p w:rsidR="00000000" w:rsidDel="00000000" w:rsidP="00000000" w:rsidRDefault="00000000" w:rsidRPr="00000000" w14:paraId="000000D0">
      <w:pPr>
        <w:spacing w:after="0" w:line="480" w:lineRule="auto"/>
        <w:ind w:firstLine="720"/>
        <w:jc w:val="both"/>
        <w:rPr/>
      </w:pPr>
      <w:r>
        <w:rPr>
          <w:rFonts w:ascii="Times New Roman" w:cs="Times New Roman" w:eastAsia="Times New Roman" w:hAnsi="Times New Roman"/>
          <w:sz w:val="20"/>
          <w:szCs w:val="20"/>
          <w:rtl w:val="0"/>
        </w:rPr>
        <w:t>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The manuscript therefore should interpret TCI primarily as a level-shift effect on the productivity intercept rather than as a curvature-shaping moderator of the internationalization–performance relationship. This is also the most coherent reading for hypothesis development, because it preserves the distinction between internal capability depth and export-contingent digital complementarity.</w:t>
      </w:r>
      <w:r>
        <w:rPr>
          <w:rtl w:val="0"/>
        </w:rPr>
      </w:r>
    </w:p>
    <w:p w:rsidR="00000000" w:rsidDel="00000000" w:rsidP="00000000" w:rsidRDefault="00000000" w:rsidRPr="00000000" w14:paraId="000000D1">
      <w:pPr>
        <w:spacing w:after="160" w:before="280" w:lineRule="auto"/>
        <w:jc w:val="left"/>
        <w:rPr/>
      </w:pPr>
      <w:r>
        <w:rPr>
          <w:rFonts w:ascii="Times New Roman" w:cs="Times New Roman" w:eastAsia="Times New Roman" w:hAnsi="Times New Roman"/>
          <w:b w:val="1"/>
          <w:bCs w:val="1"/>
          <w:sz w:val="22"/>
          <w:szCs w:val="22"/>
          <w:rtl w:val="0"/>
        </w:rPr>
        <w:t>4.4 DAI results</w:t>
      </w:r>
      <w:r>
        <w:rPr>
          <w:rtl w:val="0"/>
        </w:rPr>
      </w:r>
    </w:p>
    <w:p w:rsidR="00000000" w:rsidDel="00000000" w:rsidP="00000000" w:rsidRDefault="00000000" w:rsidRPr="00000000" w14:paraId="000000D2">
      <w:pPr>
        <w:spacing w:after="0" w:line="480" w:lineRule="auto"/>
        <w:ind w:firstLine="720"/>
        <w:jc w:val="both"/>
        <w:rPr/>
      </w:pPr>
      <w:r>
        <w:rPr>
          <w:rFonts w:ascii="Times New Roman" w:cs="Times New Roman" w:eastAsia="Times New Roman" w:hAnsi="Times New Roman"/>
          <w:sz w:val="20"/>
          <w:szCs w:val="20"/>
          <w:rtl w:val="0"/>
        </w:rPr>
        <w:t>In the direct-effect model for digital adoption (Model M6), DAI is positively associated with labour productivity (β = 0.104, SE = 0.038, p = .007). However, once TCI is included alongside DAI in Model M7, the DAI coefficient attenuates to β = 0.077 and remains marginal (p = .048), indicating partial overlap in the average-firm heterogeneity captured by the two constructs. This attenuation is substantively important because it suggests that DAI should not be interpreted as a large, universal productivity premium across all firms.</w:t>
      </w:r>
      <w:r>
        <w:rPr>
          <w:rtl w:val="0"/>
        </w:rPr>
      </w:r>
    </w:p>
    <w:p w:rsidR="00000000" w:rsidDel="00000000" w:rsidP="00000000" w:rsidRDefault="00000000" w:rsidRPr="00000000" w14:paraId="000000D3">
      <w:pPr>
        <w:spacing w:after="60" w:line="480" w:lineRule="auto"/>
        <w:jc w:val="left"/>
        <w:rPr/>
      </w:pPr>
      <w:r>
        <w:rPr>
          <w:rFonts w:ascii="Times New Roman" w:cs="Times New Roman" w:eastAsia="Times New Roman" w:hAnsi="Times New Roman"/>
          <w:b w:val="1"/>
          <w:bCs w:val="1"/>
          <w:sz w:val="20"/>
          <w:szCs w:val="20"/>
          <w:rtl w:val="0"/>
        </w:rPr>
        <w:t xml:space="preserve">Table 2. Hierarchical OLS regression results — Singapore 2023.</w:t>
      </w:r>
      <w:r>
        <w:rPr>
          <w:rtl w:val="0"/>
        </w:rPr>
      </w:r>
    </w:p>
    <w:p w:rsidR="00000000" w:rsidDel="00000000" w:rsidP="00000000" w:rsidRDefault="00000000" w:rsidRPr="00000000" w14:paraId="000000D4">
      <w:pPr>
        <w:spacing w:after="120" w:line="480" w:lineRule="auto"/>
        <w:jc w:val="left"/>
        <w:rPr/>
      </w:pPr>
      <w:r>
        <w:rPr>
          <w:rFonts w:ascii="Times New Roman" w:cs="Times New Roman" w:eastAsia="Times New Roman" w:hAnsi="Times New Roman"/>
          <w:i w:val="1"/>
          <w:iCs w:val="1"/>
          <w:sz w:val="16"/>
          <w:szCs w:val="16"/>
          <w:rtl w:val="0"/>
        </w:rPr>
        <w:t xml:space="preserve">DV: Ln(Labour Productivity). HC1 robust standard errors in parentheses.</w:t>
      </w:r>
      <w:r>
        <w:rPr>
          <w:rtl w:val="0"/>
        </w:rPr>
      </w:r>
    </w:p>
    <w:tbl>
      <w:tblPr>
        <w:tblStyle w:val="Table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900"/>
        <w:gridCol w:w="900"/>
        <w:gridCol w:w="900"/>
        <w:gridCol w:w="900"/>
        <w:gridCol w:w="900"/>
        <w:gridCol w:w="900"/>
        <w:gridCol w:w="900"/>
        <w:tblGridChange w:id="0">
          <w:tblGrid>
            <w:gridCol w:w="1620"/>
            <w:gridCol w:w="900"/>
            <w:gridCol w:w="900"/>
            <w:gridCol w:w="900"/>
            <w:gridCol w:w="900"/>
            <w:gridCol w:w="900"/>
            <w:gridCol w:w="9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5">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6">
            <w:pPr>
              <w:spacing w:line="240" w:lineRule="auto"/>
              <w:jc w:val="center"/>
              <w:rPr/>
            </w:pPr>
            <w:r>
              <w:rPr>
                <w:rFonts w:ascii="Times New Roman" w:cs="Times New Roman" w:eastAsia="Times New Roman" w:hAnsi="Times New Roman"/>
                <w:b w:val="1"/>
                <w:bCs w:val="1"/>
                <w:sz w:val="16"/>
                <w:szCs w:val="16"/>
                <w:rtl w:val="0"/>
              </w:rPr>
              <w:t xml:space="preserve">M0Ctrl</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7">
            <w:pPr>
              <w:spacing w:line="240" w:lineRule="auto"/>
              <w:jc w:val="center"/>
              <w:rPr/>
            </w:pPr>
            <w:r>
              <w:rPr>
                <w:rFonts w:ascii="Times New Roman" w:cs="Times New Roman" w:eastAsia="Times New Roman" w:hAnsi="Times New Roman"/>
                <w:b w:val="1"/>
                <w:bCs w:val="1"/>
                <w:sz w:val="16"/>
                <w:szCs w:val="16"/>
                <w:rtl w:val="0"/>
              </w:rPr>
              <w:t xml:space="preserve">M2Inv-U</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8">
            <w:pPr>
              <w:spacing w:line="240" w:lineRule="auto"/>
              <w:jc w:val="center"/>
              <w:rPr/>
            </w:pPr>
            <w:r>
              <w:rPr>
                <w:rFonts w:ascii="Times New Roman" w:cs="Times New Roman" w:eastAsia="Times New Roman" w:hAnsi="Times New Roman"/>
                <w:b w:val="1"/>
                <w:bCs w:val="1"/>
                <w:sz w:val="16"/>
                <w:szCs w:val="16"/>
                <w:rtl w:val="0"/>
              </w:rPr>
              <w:t xml:space="preserve">M5+TCI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9">
            <w:pPr>
              <w:spacing w:line="240" w:lineRule="auto"/>
              <w:jc w:val="center"/>
              <w:rPr/>
            </w:pPr>
            <w:r>
              <w:rPr>
                <w:rFonts w:ascii="Times New Roman" w:cs="Times New Roman" w:eastAsia="Times New Roman" w:hAnsi="Times New Roman"/>
                <w:b w:val="1"/>
                <w:bCs w:val="1"/>
                <w:sz w:val="16"/>
                <w:szCs w:val="16"/>
                <w:rtl w:val="0"/>
              </w:rPr>
              <w:t xml:space="preserve">M6+DAI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A">
            <w:pPr>
              <w:spacing w:line="240" w:lineRule="auto"/>
              <w:jc w:val="center"/>
              <w:rPr/>
            </w:pPr>
            <w:r>
              <w:rPr>
                <w:rFonts w:ascii="Times New Roman" w:cs="Times New Roman" w:eastAsia="Times New Roman" w:hAnsi="Times New Roman"/>
                <w:b w:val="1"/>
                <w:bCs w:val="1"/>
                <w:sz w:val="16"/>
                <w:szCs w:val="16"/>
                <w:rtl w:val="0"/>
              </w:rPr>
              <w:t xml:space="preserve">M7T+D</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B">
            <w:pPr>
              <w:spacing w:line="240" w:lineRule="auto"/>
              <w:jc w:val="center"/>
              <w:rPr/>
            </w:pPr>
            <w:r>
              <w:rPr>
                <w:rFonts w:ascii="Times New Roman" w:cs="Times New Roman" w:eastAsia="Times New Roman" w:hAnsi="Times New Roman"/>
                <w:b w:val="1"/>
                <w:bCs w:val="1"/>
                <w:sz w:val="16"/>
                <w:szCs w:val="16"/>
                <w:rtl w:val="0"/>
              </w:rPr>
              <w:t xml:space="preserve">M4DAI×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C">
            <w:pPr>
              <w:spacing w:line="240" w:lineRule="auto"/>
              <w:jc w:val="center"/>
              <w:rPr/>
            </w:pPr>
            <w:r>
              <w:rPr>
                <w:rFonts w:ascii="Times New Roman" w:cs="Times New Roman" w:eastAsia="Times New Roman" w:hAnsi="Times New Roman"/>
                <w:b w:val="1"/>
                <w:bCs w:val="1"/>
                <w:sz w:val="16"/>
                <w:szCs w:val="16"/>
                <w:rtl w:val="0"/>
              </w:rPr>
              <w:t xml:space="preserve">M8Full</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D">
            <w:pPr>
              <w:spacing w:line="240" w:lineRule="auto"/>
              <w:jc w:val="left"/>
              <w:rPr/>
            </w:pPr>
            <w:r>
              <w:rPr>
                <w:rFonts w:ascii="Times New Roman" w:cs="Times New Roman" w:eastAsia="Times New Roman" w:hAnsi="Times New Roman"/>
                <w:b w:val="1"/>
                <w:bCs w:val="1"/>
                <w:sz w:val="16"/>
                <w:szCs w:val="16"/>
                <w:rtl w:val="0"/>
              </w:rPr>
              <w:t xml:space="preserve">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+2.652***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+2.165**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+2.322***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+1.952**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+2.768***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+2.409**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(0.691)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(0.699)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(0.701)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(0.750)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(0.748)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D">
            <w:pPr>
              <w:spacing w:line="240" w:lineRule="auto"/>
              <w:jc w:val="left"/>
              <w:rPr/>
            </w:pPr>
            <w:r>
              <w:rPr>
                <w:rFonts w:ascii="Times New Roman" w:cs="Times New Roman" w:eastAsia="Times New Roman" w:hAnsi="Times New Roman"/>
                <w:b w:val="1"/>
                <w:bCs w:val="1"/>
                <w:sz w:val="16"/>
                <w:szCs w:val="16"/>
                <w:rtl w:val="0"/>
              </w:rPr>
              <w:t xml:space="preserve">FSTS²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-1.705†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-1.389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-0.965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-2.959**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-2.543*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(0.931)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(0.940)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(0.928)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(0.938)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(1.012)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(1.045)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D">
            <w:pPr>
              <w:spacing w:line="240" w:lineRule="auto"/>
              <w:jc w:val="left"/>
              <w:rPr/>
            </w:pPr>
            <w:r>
              <w:rPr>
                <w:rFonts w:ascii="Times New Roman" w:cs="Times New Roman" w:eastAsia="Times New Roman" w:hAnsi="Times New Roman"/>
                <w:b w:val="1"/>
                <w:bCs w:val="1"/>
                <w:sz w:val="16"/>
                <w:szCs w:val="16"/>
                <w:rtl w:val="0"/>
              </w:rPr>
              <w:t xml:space="preserve">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+0.153***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+0.153***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D">
            <w:pPr>
              <w:spacing w:line="240" w:lineRule="auto"/>
              <w:jc w:val="left"/>
              <w:rPr/>
            </w:pPr>
            <w:r>
              <w:rPr>
                <w:rFonts w:ascii="Times New Roman" w:cs="Times New Roman" w:eastAsia="Times New Roman" w:hAnsi="Times New Roman"/>
                <w:b w:val="1"/>
                <w:bCs w:val="1"/>
                <w:sz w:val="16"/>
                <w:szCs w:val="16"/>
                <w:rtl w:val="0"/>
              </w:rPr>
              <w:t xml:space="preserve">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+0.104**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(0.038)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(0.038)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D">
            <w:pPr>
              <w:spacing w:line="240" w:lineRule="auto"/>
              <w:jc w:val="left"/>
              <w:rPr/>
            </w:pPr>
            <w:r>
              <w:rPr>
                <w:rFonts w:ascii="Times New Roman" w:cs="Times New Roman" w:eastAsia="Times New Roman" w:hAnsi="Times New Roman"/>
                <w:b w:val="1"/>
                <w:bCs w:val="1"/>
                <w:sz w:val="16"/>
                <w:szCs w:val="16"/>
                <w:rtl w:val="0"/>
              </w:rPr>
              <w:t xml:space="preserve">FSTS × DAI</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-1.144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-1.167†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(0.702)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(0.686)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D">
            <w:pPr>
              <w:spacing w:line="240" w:lineRule="auto"/>
              <w:jc w:val="left"/>
              <w:rPr/>
            </w:pPr>
            <w:r>
              <w:rPr>
                <w:rFonts w:ascii="Times New Roman" w:cs="Times New Roman" w:eastAsia="Times New Roman" w:hAnsi="Times New Roman"/>
                <w:b w:val="1"/>
                <w:bCs w:val="1"/>
                <w:sz w:val="16"/>
                <w:szCs w:val="16"/>
                <w:rtl w:val="0"/>
              </w:rPr>
              <w:t xml:space="preserve">FSTS² × DAI</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+3.098**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+3.119**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(1.088)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(1.124)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D">
            <w:pPr>
              <w:spacing w:line="240" w:lineRule="auto"/>
              <w:jc w:val="left"/>
              <w:rPr/>
            </w:pPr>
            <w:r>
              <w:rPr>
                <w:rFonts w:ascii="Times New Roman" w:cs="Times New Roman" w:eastAsia="Times New Roman" w:hAnsi="Times New Roman"/>
                <w:b w:val="1"/>
                <w:bCs w:val="1"/>
                <w:sz w:val="16"/>
                <w:szCs w:val="16"/>
                <w:rtl w:val="0"/>
              </w:rPr>
              <w:t xml:space="preserve">Firm size (ln)</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-0.135***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-0.168***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5">
            <w:pPr>
              <w:spacing w:line="240" w:lineRule="auto"/>
              <w:jc w:val="left"/>
              <w:rPr/>
            </w:pPr>
            <w:r>
              <w:rPr>
                <w:rFonts w:ascii="Times New Roman" w:cs="Times New Roman" w:eastAsia="Times New Roman" w:hAnsi="Times New Roman"/>
                <w:b w:val="1"/>
                <w:bCs w:val="1"/>
                <w:sz w:val="16"/>
                <w:szCs w:val="16"/>
                <w:rtl w:val="0"/>
              </w:rPr>
              <w:t xml:space="preserve">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D">
            <w:pPr>
              <w:spacing w:line="240" w:lineRule="auto"/>
              <w:jc w:val="left"/>
              <w:rPr/>
            </w:pPr>
            <w:r>
              <w:rPr>
                <w:rFonts w:ascii="Times New Roman" w:cs="Times New Roman" w:eastAsia="Times New Roman" w:hAnsi="Times New Roman"/>
                <w:b w:val="1"/>
                <w:bCs w:val="1"/>
                <w:sz w:val="16"/>
                <w:szCs w:val="16"/>
                <w:rtl w:val="0"/>
              </w:rPr>
              <w:t xml:space="preserve">Foreign-owned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+0.407***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+0.293***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+0.307***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+0.294**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+0.298***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+0.284**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5">
            <w:pPr>
              <w:spacing w:line="240" w:lineRule="auto"/>
              <w:jc w:val="left"/>
              <w:rPr/>
            </w:pPr>
            <w:r>
              <w:rPr>
                <w:rFonts w:ascii="Times New Roman" w:cs="Times New Roman" w:eastAsia="Times New Roman" w:hAnsi="Times New Roman"/>
                <w:b w:val="1"/>
                <w:bCs w:val="1"/>
                <w:sz w:val="16"/>
                <w:szCs w:val="16"/>
                <w:rtl w:val="0"/>
              </w:rPr>
              <w:t xml:space="preserve">Sector FE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Yes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D">
            <w:pPr>
              <w:spacing w:line="240" w:lineRule="auto"/>
              <w:jc w:val="left"/>
              <w:rPr/>
            </w:pPr>
            <w:r>
              <w:rPr>
                <w:rFonts w:ascii="Times New Roman" w:cs="Times New Roman" w:eastAsia="Times New Roman" w:hAnsi="Times New Roman"/>
                <w:b w:val="1"/>
                <w:bCs w:val="1"/>
                <w:sz w:val="16"/>
                <w:szCs w:val="16"/>
                <w:rtl w:val="0"/>
              </w:rPr>
              <w:t xml:space="preserve">Constant</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+10.958***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+11.157***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+11.345***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+11.199***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+11.361***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+11.190***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+11.353***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5">
            <w:pPr>
              <w:spacing w:line="240" w:lineRule="auto"/>
              <w:jc w:val="left"/>
              <w:rPr/>
            </w:pPr>
            <w:r>
              <w:rPr>
                <w:rFonts w:ascii="Times New Roman" w:cs="Times New Roman" w:eastAsia="Times New Roman" w:hAnsi="Times New Roman"/>
                <w:b w:val="1"/>
                <w:bCs w:val="1"/>
                <w:sz w:val="16"/>
                <w:szCs w:val="16"/>
                <w:rtl w:val="0"/>
              </w:rPr>
              <w:t xml:space="preserve">N</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623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623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623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D">
            <w:pPr>
              <w:spacing w:line="240" w:lineRule="auto"/>
              <w:jc w:val="left"/>
              <w:rPr/>
            </w:pPr>
            <w:r>
              <w:rPr>
                <w:rFonts w:ascii="Times New Roman" w:cs="Times New Roman" w:eastAsia="Times New Roman" w:hAnsi="Times New Roman"/>
                <w:b w:val="1"/>
                <w:bCs w:val="1"/>
                <w:sz w:val="16"/>
                <w:szCs w:val="16"/>
                <w:rtl w:val="0"/>
              </w:rPr>
              <w:t xml:space="preserve">R²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0.122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0.202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0.211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5">
            <w:pPr>
              <w:spacing w:line="240" w:lineRule="auto"/>
              <w:jc w:val="left"/>
              <w:rPr/>
            </w:pPr>
            <w:r>
              <w:rPr>
                <w:rFonts w:ascii="Times New Roman" w:cs="Times New Roman" w:eastAsia="Times New Roman" w:hAnsi="Times New Roman"/>
                <w:b w:val="1"/>
                <w:bCs w:val="1"/>
                <w:sz w:val="16"/>
                <w:szCs w:val="16"/>
                <w:rtl w:val="0"/>
              </w:rPr>
              <w:t xml:space="preserve">Adj. R²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0.168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0.196</w:t>
            </w:r>
          </w:p>
        </w:tc>
      </w:tr>
    </w:tbl>
    <w:p w:rsidR="00000000" w:rsidDel="00000000" w:rsidP="00000000" w:rsidRDefault="00000000" w:rsidRPr="00000000" w14:paraId="0000017D">
      <w:pPr>
        <w:spacing w:after="60" w:line="480" w:lineRule="auto"/>
        <w:jc w:val="left"/>
        <w:rPr/>
      </w:pPr>
      <w:r>
        <w:rPr>
          <w:rtl w:val="0"/>
        </w:rPr>
      </w:r>
    </w:p>
    <w:p w:rsidR="00000000" w:rsidDel="00000000" w:rsidP="00000000" w:rsidRDefault="00000000" w:rsidRPr="00000000" w14:paraId="0000017E">
      <w:pPr>
        <w:spacing w:after="240" w:line="480" w:lineRule="auto"/>
        <w:jc w:val="left"/>
        <w:rPr/>
      </w:pPr>
      <w:r>
        <w:rPr>
          <w:rFonts w:ascii="Times New Roman" w:cs="Times New Roman" w:eastAsia="Times New Roman" w:hAnsi="Times New Roman"/>
          <w:i w:val="1"/>
          <w:iCs w:val="1"/>
          <w:sz w:val="16"/>
          <w:szCs w:val="16"/>
          <w:rtl w:val="0"/>
        </w:rPr>
        <w:t>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rPr>
          <w:rtl w:val="0"/>
        </w:rPr>
      </w:r>
    </w:p>
    <w:p w:rsidR="00000000" w:rsidDel="00000000" w:rsidP="00000000" w:rsidRDefault="00000000" w:rsidRPr="00000000" w14:paraId="0000017F">
      <w:pPr>
        <w:spacing w:after="0" w:line="480" w:lineRule="auto"/>
        <w:ind w:firstLine="720"/>
        <w:jc w:val="both"/>
        <w:rPr/>
      </w:pPr>
      <w:r>
        <w:rPr>
          <w:rFonts w:ascii="Times New Roman" w:cs="Times New Roman" w:eastAsia="Times New Roman" w:hAnsi="Times New Roman"/>
          <w:sz w:val="20"/>
          <w:szCs w:val="20"/>
          <w:rtl w:val="0"/>
        </w:rPr>
        <w:t>Table 2 reports the main hierarchical regression results. The baseline quadratic specification shows a strongly positive linear FSTS term and a marginally negative squared term, indicating that the internationalization–performance relationship is better read as predominantly monotonic positive with mild quadratic curvature rather than as a formally established inverted-U. The direct-effect models further show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shows that the most consequential DAI result is not a large unconditional premium, but a positive quadratic moderation pattern indicating that the relevance of digital adoption becomes more positive as export intensity rises.</w:t>
      </w:r>
      <w:r>
        <w:rPr>
          <w:rtl w:val="0"/>
        </w:rPr>
      </w:r>
    </w:p>
    <w:p w:rsidR="00000000" w:rsidDel="00000000" w:rsidP="00000000" w:rsidRDefault="00000000" w:rsidRPr="00000000" w14:paraId="0000017F">
      <w:pPr>
        <w:spacing w:after="0" w:line="480" w:lineRule="auto"/>
        <w:ind w:firstLine="720"/>
        <w:jc w:val="both"/>
        <w:rPr/>
      </w:pPr>
      <w:r>
        <w:rPr>
          <w:rFonts w:ascii="Times New Roman" w:cs="Times New Roman" w:eastAsia="Times New Roman" w:hAnsi="Times New Roman"/>
          <w:sz w:val="20"/>
          <w:szCs w:val="20"/>
          <w:rtl w:val="0"/>
        </w:rPr>
        <w:t>The strongest evidence for DAI appears in the moderation specifications. In the full model (Model M8), the direct DAI term is small and not statistically significant (β = 0.019, p = .705), the linear interaction with FSTS is negative and marginal (β = −1.177, p = .083), and the quadratic interaction term is positive and statistically significant (β = 3.118, SE = 1.117, p = .005). Model M8 also produces the highest explanatory power among the main specifications, with R² = 0.213 and adjusted R² = 0.199. Read substantively, these estimates indicate that the productivity relevance of digital adoption becomes more positive at higher levels of export intensity, with the clearest signal concentrated in the high-export tail rather than distributed uniformly across the sample.</w:t>
      </w:r>
      <w:r>
        <w:rPr>
          <w:rtl w:val="0"/>
        </w:rPr>
      </w:r>
    </w:p>
    <w:p w:rsidR="00000000" w:rsidDel="00000000" w:rsidP="00000000" w:rsidRDefault="00000000" w:rsidRPr="00000000" w14:paraId="0000017F">
      <w:pPr>
        <w:spacing w:after="0" w:line="480" w:lineRule="auto"/>
        <w:ind w:firstLine="720"/>
        <w:jc w:val="both"/>
        <w:rPr/>
      </w:pPr>
      <w:r>
        <w:rPr>
          <w:rFonts w:ascii="Times New Roman" w:cs="Times New Roman" w:eastAsia="Times New Roman" w:hAnsi="Times New Roman"/>
          <w:sz w:val="20"/>
          <w:szCs w:val="20"/>
          <w:rtl w:val="0"/>
        </w:rPr>
        <w:t>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rPr>
          <w:rtl w:val="0"/>
        </w:rPr>
      </w:r>
    </w:p>
    <w:p w:rsidR="00000000" w:rsidDel="00000000" w:rsidP="00000000" w:rsidRDefault="00000000" w:rsidRPr="00000000" w14:paraId="00000180">
      <w:pPr>
        <w:spacing w:after="120" w:line="480" w:lineRule="auto"/>
        <w:jc w:val="left"/>
        <w:rPr/>
      </w:pPr>
      <w:r>
        <w:rPr>
          <w:rFonts w:ascii="Times New Roman" w:cs="Times New Roman" w:eastAsia="Times New Roman" w:hAnsi="Times New Roman"/>
          <w:b w:val="1"/>
          <w:bCs w:val="1"/>
          <w:sz w:val="20"/>
          <w:szCs w:val="20"/>
          <w:rtl w:val="0"/>
        </w:rPr>
        <w:t xml:space="preserve">Table 4. Marginal effects of DAI across selected FSTS levels (from Model M8).</w:t>
      </w:r>
      <w:r>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1">
            <w:pPr>
              <w:spacing w:line="240" w:lineRule="auto"/>
              <w:jc w:val="center"/>
              <w:rPr/>
            </w:pPr>
            <w:r>
              <w:rPr>
                <w:rFonts w:ascii="Times New Roman" w:cs="Times New Roman" w:eastAsia="Times New Roman" w:hAnsi="Times New Roman"/>
                <w:b w:val="1"/>
                <w:bCs w:val="1"/>
                <w:sz w:val="16"/>
                <w:szCs w:val="16"/>
                <w:rtl w:val="0"/>
              </w:rPr>
              <w:t xml:space="preserve">FSTS level</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2">
            <w:pPr>
              <w:spacing w:line="240" w:lineRule="auto"/>
              <w:jc w:val="center"/>
              <w:rPr/>
            </w:pPr>
            <w:r>
              <w:rPr>
                <w:rFonts w:ascii="Times New Roman" w:cs="Times New Roman" w:eastAsia="Times New Roman" w:hAnsi="Times New Roman"/>
                <w:b w:val="1"/>
                <w:bCs w:val="1"/>
                <w:sz w:val="16"/>
                <w:szCs w:val="16"/>
                <w:rtl w:val="0"/>
              </w:rPr>
              <w:t xml:space="preserve">Marginal effect of 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3">
            <w:pPr>
              <w:spacing w:line="240" w:lineRule="auto"/>
              <w:jc w:val="center"/>
              <w:rPr/>
            </w:pPr>
            <w:r>
              <w:rPr>
                <w:rFonts w:ascii="Times New Roman" w:cs="Times New Roman" w:eastAsia="Times New Roman" w:hAnsi="Times New Roman"/>
                <w:b w:val="1"/>
                <w:bCs w:val="1"/>
                <w:sz w:val="16"/>
                <w:szCs w:val="16"/>
                <w:rtl w:val="0"/>
              </w:rPr>
              <w:t xml:space="preserve">SE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4">
            <w:pPr>
              <w:spacing w:line="240" w:lineRule="auto"/>
              <w:jc w:val="center"/>
              <w:rPr/>
            </w:pPr>
            <w:r>
              <w:rPr>
                <w:rFonts w:ascii="Times New Roman" w:cs="Times New Roman" w:eastAsia="Times New Roman" w:hAnsi="Times New Roman"/>
                <w:b w:val="1"/>
                <w:bCs w:val="1"/>
                <w:sz w:val="16"/>
                <w:szCs w:val="16"/>
                <w:rtl w:val="0"/>
              </w:rPr>
              <w:t xml:space="preserve">p-value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5">
            <w:pPr>
              <w:spacing w:line="240" w:lineRule="auto"/>
              <w:jc w:val="center"/>
              <w:rPr/>
            </w:pPr>
            <w:r>
              <w:rPr>
                <w:rFonts w:ascii="Times New Roman" w:cs="Times New Roman" w:eastAsia="Times New Roman" w:hAnsi="Times New Roman"/>
                <w:b w:val="1"/>
                <w:bCs w:val="1"/>
                <w:sz w:val="16"/>
                <w:szCs w:val="16"/>
                <w:rtl w:val="0"/>
              </w:rPr>
              <w:t xml:space="preserve">95% CI</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6">
            <w:pPr>
              <w:spacing w:line="240" w:lineRule="auto"/>
              <w:jc w:val="left"/>
              <w:rPr/>
            </w:pPr>
            <w:r>
              <w:rPr>
                <w:rFonts w:ascii="Times New Roman" w:cs="Times New Roman" w:eastAsia="Times New Roman" w:hAnsi="Times New Roman"/>
                <w:b w:val="0"/>
                <w:bCs w:val="0"/>
                <w:sz w:val="16"/>
                <w:szCs w:val="16"/>
                <w:rtl w:val="0"/>
              </w:rPr>
              <w:t xml:space="preserve">FSTS = 0% (domestic)</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+0.080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[+0.002, +0.158]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B">
            <w:pPr>
              <w:spacing w:line="240" w:lineRule="auto"/>
              <w:jc w:val="left"/>
              <w:rPr/>
            </w:pPr>
            <w:r>
              <w:rPr>
                <w:rFonts w:ascii="Times New Roman" w:cs="Times New Roman" w:eastAsia="Times New Roman" w:hAnsi="Times New Roman"/>
                <w:b w:val="0"/>
                <w:bCs w:val="0"/>
                <w:sz w:val="16"/>
                <w:szCs w:val="16"/>
                <w:rtl w:val="0"/>
              </w:rPr>
              <w:t xml:space="preserve">FSTS = 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+0.015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0.047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.752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[-0.077, +0.106]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0">
            <w:pPr>
              <w:spacing w:line="240" w:lineRule="auto"/>
              <w:jc w:val="left"/>
              <w:rPr/>
            </w:pPr>
            <w:r>
              <w:rPr>
                <w:rFonts w:ascii="Times New Roman" w:cs="Times New Roman" w:eastAsia="Times New Roman" w:hAnsi="Times New Roman"/>
                <w:b w:val="1"/>
                <w:bCs w:val="1"/>
                <w:sz w:val="16"/>
                <w:szCs w:val="16"/>
                <w:rtl w:val="0"/>
              </w:rPr>
              <w:t xml:space="preserve">FSTS = 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-0.035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0.069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.616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[-0.170, +0.101]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5">
            <w:pPr>
              <w:spacing w:line="240" w:lineRule="auto"/>
              <w:jc w:val="left"/>
              <w:rPr/>
            </w:pPr>
            <w:r>
              <w:rPr>
                <w:rFonts w:ascii="Times New Roman" w:cs="Times New Roman" w:eastAsia="Times New Roman" w:hAnsi="Times New Roman"/>
                <w:b w:val="0"/>
                <w:bCs w:val="0"/>
                <w:sz w:val="16"/>
                <w:szCs w:val="16"/>
                <w:rtl w:val="0"/>
              </w:rPr>
              <w:t xml:space="preserve">FSTS = 15%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-0.069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0.093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.459</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[-0.250, +0.113]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A">
            <w:pPr>
              <w:spacing w:line="240" w:lineRule="auto"/>
              <w:jc w:val="left"/>
              <w:rPr/>
            </w:pPr>
            <w:r>
              <w:rPr>
                <w:rFonts w:ascii="Times New Roman" w:cs="Times New Roman" w:eastAsia="Times New Roman" w:hAnsi="Times New Roman"/>
                <w:b w:val="0"/>
                <w:bCs w:val="0"/>
                <w:sz w:val="16"/>
                <w:szCs w:val="16"/>
                <w:rtl w:val="0"/>
              </w:rPr>
              <w:t xml:space="preserve">FSTS = 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-0.087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0.113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.444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[-0.309, +0.135]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F">
            <w:pPr>
              <w:spacing w:line="240" w:lineRule="auto"/>
              <w:jc w:val="left"/>
              <w:rPr/>
            </w:pPr>
            <w:r>
              <w:rPr>
                <w:rFonts w:ascii="Times New Roman" w:cs="Times New Roman" w:eastAsia="Times New Roman" w:hAnsi="Times New Roman"/>
                <w:b w:val="1"/>
                <w:bCs w:val="1"/>
                <w:sz w:val="16"/>
                <w:szCs w:val="16"/>
                <w:rtl w:val="0"/>
              </w:rPr>
              <w:t xml:space="preserve">FSTS = 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-0.077</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0.145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.598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[-0.361, +0.208]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4">
            <w:pPr>
              <w:spacing w:line="240" w:lineRule="auto"/>
              <w:jc w:val="left"/>
              <w:rPr/>
            </w:pPr>
            <w:r>
              <w:rPr>
                <w:rFonts w:ascii="Times New Roman" w:cs="Times New Roman" w:eastAsia="Times New Roman" w:hAnsi="Times New Roman"/>
                <w:b w:val="1"/>
                <w:bCs w:val="1"/>
                <w:sz w:val="16"/>
                <w:szCs w:val="16"/>
                <w:rtl w:val="0"/>
              </w:rPr>
              <w:t xml:space="preserve">FSTS = 50%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+0.131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0.186</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.481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[-0.234, +0.496]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9">
            <w:pPr>
              <w:spacing w:line="240" w:lineRule="auto"/>
              <w:jc w:val="left"/>
              <w:rPr/>
            </w:pPr>
            <w:r>
              <w:rPr>
                <w:rFonts w:ascii="Times New Roman" w:cs="Times New Roman" w:eastAsia="Times New Roman" w:hAnsi="Times New Roman"/>
                <w:b w:val="1"/>
                <w:bCs w:val="1"/>
                <w:sz w:val="16"/>
                <w:szCs w:val="16"/>
                <w:rtl w:val="0"/>
              </w:rPr>
              <w:t xml:space="preserve">FSTS = 70%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+0.588</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0.262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.025*</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[+0.074, +1.102]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E">
            <w:pPr>
              <w:spacing w:line="240" w:lineRule="auto"/>
              <w:jc w:val="left"/>
              <w:rPr/>
            </w:pPr>
            <w:r>
              <w:rPr>
                <w:rFonts w:ascii="Times New Roman" w:cs="Times New Roman" w:eastAsia="Times New Roman" w:hAnsi="Times New Roman"/>
                <w:b w:val="1"/>
                <w:bCs w:val="1"/>
                <w:sz w:val="16"/>
                <w:szCs w:val="16"/>
                <w:rtl w:val="0"/>
              </w:rPr>
              <w:t xml:space="preserve">FSTS = 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+1.742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0.573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.002**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
              <w:t>[+0.618, +2.865]</w:t>
            </w:r>
          </w:p>
        </w:tc>
      </w:tr>
    </w:tbl>
    <w:p w:rsidR="00000000" w:rsidDel="00000000" w:rsidP="00000000" w:rsidRDefault="00000000" w:rsidRPr="00000000" w14:paraId="000001B3">
      <w:pPr>
        <w:spacing w:after="60" w:line="480" w:lineRule="auto"/>
        <w:jc w:val="left"/>
        <w:rPr/>
      </w:pPr>
      <w:r>
        <w:rPr>
          <w:rtl w:val="0"/>
        </w:rPr>
      </w:r>
    </w:p>
    <w:p w:rsidR="00000000" w:rsidDel="00000000" w:rsidP="00000000" w:rsidRDefault="00000000" w:rsidRPr="00000000" w14:paraId="000001B4">
      <w:pPr>
        <w:spacing w:after="240" w:line="480" w:lineRule="auto"/>
        <w:jc w:val="left"/>
        <w:rPr/>
      </w:pPr>
      <w:r>
        <w:rPr>
          <w:rFonts w:ascii="Times New Roman" w:cs="Times New Roman" w:eastAsia="Times New Roman" w:hAnsi="Times New Roman"/>
          <w:i w:val="1"/>
          <w:iCs w:val="1"/>
          <w:sz w:val="16"/>
          <w:szCs w:val="16"/>
          <w:rtl w:val="0"/>
        </w:rPr>
        <w:t>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Table 4 and Figure 2 translate the interaction estimates from Model M8 into substantively interpretable marginal effects across the export-intensity distribution. Across domestic, low-export, and much of the middle export range, the marginal effect of DAI is small and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0.588 at FSTS 70 and 1.742 at FSTS 100. This pattern supports the interpretation of DAI as a scale-enabling complement whose productivity relevance emerges more clearly when firms face denser cross-border coordination and transaction demands.</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In this setting, foundational digital adoption is better interpreted as a conditional scaling resource whose productivity relevance becomes more visible at higher export intensity, while remaining weak or statistically indistinct across much of the distribution.</w:t>
      </w:r>
      <w:r>
        <w:rPr>
          <w:rtl w:val="0"/>
        </w:rPr>
      </w:r>
    </w:p>
    <w:p w:rsidR="00000000" w:rsidDel="00000000" w:rsidP="00000000" w:rsidRDefault="00000000" w:rsidRPr="00000000" w14:paraId="000001B6">
      <w:pPr>
        <w:spacing w:after="240" w:line="280" w:lineRule="auto"/>
        <w:jc w:val="center"/>
        <w:rPr/>
      </w:pPr>
      <w:r>
        <w:rPr>
          <w:rFonts w:ascii="Times New Roman" w:cs="Times New Roman" w:eastAsia="Times New Roman" w:hAnsi="Times New Roman"/>
          <w:i w:val="1"/>
          <w:iCs w:val="1"/>
          <w:sz w:val="18"/>
          <w:szCs w:val="18"/>
          <w:rtl w:val="0"/>
        </w:rPr>
        <w:t>Figure 2. 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rPr>
          <w:rtl w:val="0"/>
        </w:rPr>
      </w:r>
    </w:p>
    <w:p w:rsidR="00000000" w:rsidDel="00000000" w:rsidP="00000000" w:rsidRDefault="00000000" w:rsidRPr="00000000" w14:paraId="000001B7">
      <w:pPr>
        <w:spacing w:after="240" w:line="280" w:lineRule="auto"/>
        <w:jc w:val="center"/>
        <w:rPr/>
      </w:pPr>
      <w:r>
        <w:rPr>
          <w:rFonts w:ascii="Times New Roman" w:cs="Times New Roman" w:eastAsia="Times New Roman" w:hAnsi="Times New Roman"/>
          <w:i w:val="1"/>
          <w:iCs w:val="1"/>
          <w:sz w:val="18"/>
          <w:szCs w:val="18"/>
          <w:rtl w:val="0"/>
        </w:rPr>
        <w:t>Figure 3. Predicted internationalization–performance curve. Predicted relationship between export intensity and labour productivity with 95% confidence bands from the canonical quadratic specification (M2). The implied turning point occurs near FSTS = 82% on the original scale,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Figure 3 visualizes the baseline quadratic fit between export intensity and labour productivity. The fitted curve implies a turning point near FSTS 82%, but the point estimate is loosely identified — its 95% percentile bootstrap confidence interval spans [53%, 253%] — and lies in a sparsely populated upper tail of the sample. The Lind–Mehlum test does not formally confirm a conventional inverted-U at conventional significance levels. The appropriate interpretation is therefore not that the classic nonlinear literature is overturned, but that in this extreme-case Singapore setting the right-side decline of the curve appears attenuated or shifted beyond the export range occupied by most firms in the data.</w:t>
      </w:r>
      <w:r>
        <w:rPr>
          <w:rtl w:val="0"/>
        </w:rPr>
      </w:r>
    </w:p>
    <w:p w:rsidR="00000000" w:rsidDel="00000000" w:rsidP="00000000" w:rsidRDefault="00000000" w:rsidRPr="00000000" w14:paraId="000001B8">
      <w:pPr>
        <w:spacing w:after="160" w:before="280" w:lineRule="auto"/>
        <w:jc w:val="left"/>
        <w:rPr/>
      </w:pPr>
      <w:r>
        <w:rPr>
          <w:rFonts w:ascii="Times New Roman" w:cs="Times New Roman" w:eastAsia="Times New Roman" w:hAnsi="Times New Roman"/>
          <w:b w:val="1"/>
          <w:bCs w:val="1"/>
          <w:sz w:val="22"/>
          <w:szCs w:val="22"/>
          <w:rtl w:val="0"/>
        </w:rPr>
        <w:t xml:space="preserve">4.5 Robustness checks</w:t>
      </w:r>
      <w:r>
        <w:rPr>
          <w:rtl w:val="0"/>
        </w:rPr>
      </w:r>
    </w:p>
    <w:p w:rsidR="00000000" w:rsidDel="00000000" w:rsidP="00000000" w:rsidRDefault="00000000" w:rsidRPr="00000000" w14:paraId="000001B9">
      <w:pPr>
        <w:spacing w:after="0" w:line="480" w:lineRule="auto"/>
        <w:ind w:firstLine="720"/>
        <w:jc w:val="both"/>
        <w:rPr/>
      </w:pPr>
      <w:r>
        <w:rPr>
          <w:rFonts w:ascii="Times New Roman" w:cs="Times New Roman" w:eastAsia="Times New Roman" w:hAnsi="Times New Roman"/>
          <w:sz w:val="20"/>
          <w:szCs w:val="20"/>
          <w:rtl w:val="0"/>
        </w:rPr>
        <w:t>The robustness analysis shows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rPr>
          <w:rtl w:val="0"/>
        </w:rPr>
      </w:r>
    </w:p>
    <w:p w:rsidR="00000000" w:rsidDel="00000000" w:rsidP="00000000" w:rsidRDefault="00000000" w:rsidRPr="00000000" w14:paraId="000001BA">
      <w:pPr>
        <w:spacing w:after="0" w:line="480" w:lineRule="auto"/>
        <w:ind w:firstLine="720"/>
        <w:jc w:val="both"/>
        <w:rPr/>
      </w:pPr>
      <w:r>
        <w:rPr>
          <w:rFonts w:ascii="Cardo" w:cs="Cardo" w:eastAsia="Cardo" w:hAnsi="Cardo"/>
          <w:sz w:val="20"/>
          <w:szCs w:val="20"/>
          <w:rtl w:val="0"/>
        </w:rPr>
        <w:t>When DAI is reduced to a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w:t>
      </w:r>
      <w:r>
        <w:rPr>
          <w:rtl w:val="0"/>
        </w:rPr>
      </w:r>
      <w:r>
        <w:rPr>
          <w:rFonts w:ascii="Times New Roman" w:hAnsi="Times New Roman"/>
          <w:sz w:val="22"/>
        </w:rPr>
      </w:r>
    </w:p>
    <w:p w:rsidR="00000000" w:rsidDel="00000000" w:rsidP="00000000" w:rsidRDefault="00000000" w:rsidRPr="00000000" w14:paraId="000001BA">
      <w:pPr>
        <w:spacing w:after="0" w:line="480" w:lineRule="auto"/>
        <w:ind w:firstLine="720"/>
        <w:jc w:val="both"/>
        <w:rPr/>
      </w:pPr>
      <w:r>
        <w:rPr>
          <w:rFonts w:ascii="Cardo" w:cs="Cardo" w:eastAsia="Cardo" w:hAnsi="Cardo"/>
          <w:sz w:val="20"/>
          <w:szCs w:val="20"/>
          <w:rtl w:val="0"/>
        </w:rPr>
        <w:t>The effect sizes reported in the manuscript reinforce a cautious interpretation. The TCI direct effect is in the small-to-medium range, while the DAI moderation block is statistically detectable but substantively modest, which is typical for interaction effects in organizational research. Taken together, the strongest empirical claim of Section 4 is therefore not that digital adoption yields a large average productivity premium, but that its association with productivity becomes more positive as export intensity rises in a digitally mature setting.</w:t>
      </w:r>
      <w:r>
        <w:rPr>
          <w:rtl w:val="0"/>
        </w:rPr>
      </w:r>
      <w:r>
        <w:rPr>
          <w:rFonts w:ascii="Times New Roman" w:hAnsi="Times New Roman"/>
          <w:sz w:val="22"/>
        </w:rPr>
      </w:r>
    </w:p>
    <w:p w:rsidR="00000000" w:rsidDel="00000000" w:rsidP="00000000" w:rsidRDefault="00000000" w:rsidRPr="00000000" w14:paraId="000001BB">
      <w:pPr>
        <w:spacing w:after="60" w:line="480" w:lineRule="auto"/>
        <w:jc w:val="left"/>
        <w:rPr/>
      </w:pPr>
      <w:r>
        <w:rPr>
          <w:rFonts w:ascii="Times New Roman" w:cs="Times New Roman" w:eastAsia="Times New Roman" w:hAnsi="Times New Roman"/>
          <w:b w:val="1"/>
          <w:bCs w:val="1"/>
          <w:sz w:val="20"/>
          <w:szCs w:val="20"/>
          <w:rtl w:val="0"/>
        </w:rPr>
        <w:t xml:space="preserve">Table 3. Robustness checks for primary findings (six specifications).</w:t>
      </w:r>
      <w:r>
        <w:rPr>
          <w:rtl w:val="0"/>
        </w:rPr>
      </w:r>
    </w:p>
    <w:p w:rsidR="00000000" w:rsidDel="00000000" w:rsidP="00000000" w:rsidRDefault="00000000" w:rsidRPr="00000000" w14:paraId="000001BC">
      <w:pPr>
        <w:spacing w:after="120" w:line="480" w:lineRule="auto"/>
        <w:jc w:val="left"/>
        <w:rPr/>
      </w:pPr>
      <w:r>
        <w:rPr>
          <w:rFonts w:ascii="Times New Roman" w:cs="Times New Roman" w:eastAsia="Times New Roman" w:hAnsi="Times New Roman"/>
          <w:i w:val="1"/>
          <w:iCs w:val="1"/>
          <w:sz w:val="16"/>
          <w:szCs w:val="16"/>
          <w:rtl w:val="0"/>
        </w:rPr>
        <w:t xml:space="preserve">DV: Ln(Labour Productivity). HC1 robust standard errors. Each row reports a separate full-specification regression with controls.</w:t>
      </w:r>
      <w:r>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0"/>
        <w:gridCol w:w="1300"/>
        <w:gridCol w:w="1300"/>
        <w:gridCol w:w="1500"/>
        <w:gridCol w:w="900"/>
        <w:tblGridChange w:id="0">
          <w:tblGrid>
            <w:gridCol w:w="2700"/>
            <w:gridCol w:w="800"/>
            <w:gridCol w:w="1300"/>
            <w:gridCol w:w="1300"/>
            <w:gridCol w:w="15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D">
            <w:pPr>
              <w:spacing w:line="240" w:lineRule="auto"/>
              <w:jc w:val="left"/>
              <w:rPr/>
            </w:pPr>
            <w:r>
              <w:rPr>
                <w:rFonts w:ascii="Times New Roman" w:cs="Times New Roman" w:eastAsia="Times New Roman" w:hAnsi="Times New Roman"/>
                <w:b w:val="1"/>
                <w:bCs w:val="1"/>
                <w:sz w:val="16"/>
                <w:szCs w:val="16"/>
                <w:rtl w:val="0"/>
              </w:rPr>
              <w:t xml:space="preserve">Specification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E">
            <w:pPr>
              <w:spacing w:line="240" w:lineRule="auto"/>
              <w:jc w:val="center"/>
              <w:rPr/>
            </w:pPr>
            <w:r>
              <w:rPr>
                <w:rFonts w:ascii="Times New Roman" w:cs="Times New Roman" w:eastAsia="Times New Roman" w:hAnsi="Times New Roman"/>
                <w:b w:val="1"/>
                <w:bCs w:val="1"/>
                <w:sz w:val="16"/>
                <w:szCs w:val="16"/>
                <w:rtl w:val="0"/>
              </w:rPr>
              <w:t xml:space="preserve">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F">
            <w:pPr>
              <w:spacing w:line="240" w:lineRule="auto"/>
              <w:jc w:val="center"/>
              <w:rPr/>
            </w:pPr>
            <w:r>
              <w:rPr>
                <w:rFonts w:ascii="Times New Roman" w:cs="Times New Roman" w:eastAsia="Times New Roman" w:hAnsi="Times New Roman"/>
                <w:b w:val="1"/>
                <w:bCs w:val="1"/>
                <w:sz w:val="16"/>
                <w:szCs w:val="16"/>
                <w:rtl w:val="0"/>
              </w:rPr>
              <w:t xml:space="preserve">TCI β_z</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0">
            <w:pPr>
              <w:spacing w:line="240" w:lineRule="auto"/>
              <w:jc w:val="center"/>
              <w:rPr/>
            </w:pPr>
            <w:r>
              <w:rPr>
                <w:rFonts w:ascii="Times New Roman" w:cs="Times New Roman" w:eastAsia="Times New Roman" w:hAnsi="Times New Roman"/>
                <w:b w:val="1"/>
                <w:bCs w:val="1"/>
                <w:sz w:val="16"/>
                <w:szCs w:val="16"/>
                <w:rtl w:val="0"/>
              </w:rPr>
              <w:t xml:space="preserve">FSTS² × 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1">
            <w:pPr>
              <w:spacing w:line="240" w:lineRule="auto"/>
              <w:jc w:val="center"/>
              <w:rPr/>
            </w:pPr>
            <w:r>
              <w:rPr>
                <w:rFonts w:ascii="Times New Roman" w:cs="Times New Roman" w:eastAsia="Times New Roman" w:hAnsi="Times New Roman"/>
                <w:b w:val="1"/>
                <w:bCs w:val="1"/>
                <w:sz w:val="16"/>
                <w:szCs w:val="16"/>
                <w:rtl w:val="0"/>
              </w:rPr>
              <w:t xml:space="preserve">Joint F (p)</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2">
            <w:pPr>
              <w:spacing w:line="240" w:lineRule="auto"/>
              <w:jc w:val="center"/>
              <w:rPr/>
            </w:pPr>
            <w:r>
              <w:rPr>
                <w:rFonts w:ascii="Times New Roman" w:cs="Times New Roman" w:eastAsia="Times New Roman" w:hAnsi="Times New Roman"/>
                <w:b w:val="1"/>
                <w:bCs w:val="1"/>
                <w:sz w:val="16"/>
                <w:szCs w:val="16"/>
                <w:rtl w:val="0"/>
              </w:rPr>
              <w:t xml:space="preserve">Adj. R²</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3">
            <w:pPr>
              <w:spacing w:line="240" w:lineRule="auto"/>
              <w:jc w:val="left"/>
              <w:rPr/>
            </w:pPr>
            <w:r>
              <w:rPr>
                <w:rFonts w:ascii="Times New Roman" w:cs="Times New Roman" w:eastAsia="Times New Roman" w:hAnsi="Times New Roman"/>
                <w:b w:val="1"/>
                <w:bCs w:val="1"/>
                <w:sz w:val="16"/>
                <w:szCs w:val="16"/>
                <w:rtl w:val="0"/>
              </w:rPr>
              <w:t>Baseline (TCI_full + DAI_rich)</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4">
            <w:pPr>
              <w:spacing w:line="240" w:lineRule="auto"/>
              <w:jc w:val="center"/>
              <w:rPr/>
            </w:pPr>
            <w:r>
              <w:rPr>
                <w:rFonts w:ascii="Times New Roman" w:cs="Times New Roman" w:eastAsia="Times New Roman" w:hAnsi="Times New Roman"/>
                <w:b w:val="0"/>
                <w:bCs w:val="0"/>
                <w:sz w:val="16"/>
                <w:szCs w:val="16"/>
                <w:rtl w:val="0"/>
              </w:rPr>
              <w:t>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5">
            <w:pPr>
              <w:spacing w:line="240" w:lineRule="auto"/>
              <w:jc w:val="center"/>
              <w:rPr/>
            </w:pPr>
            <w:r>
              <w:rPr>
                <w:rFonts w:ascii="Times New Roman" w:cs="Times New Roman" w:eastAsia="Times New Roman" w:hAnsi="Times New Roman"/>
                <w:b w:val="0"/>
                <w:bCs w:val="0"/>
                <w:sz w:val="16"/>
                <w:szCs w:val="16"/>
                <w:rtl w:val="0"/>
              </w:rPr>
              <w:t>0.153***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6">
            <w:pPr>
              <w:spacing w:line="240" w:lineRule="auto"/>
              <w:jc w:val="center"/>
              <w:rPr/>
            </w:pPr>
            <w:r>
              <w:rPr>
                <w:rFonts w:ascii="Times New Roman" w:cs="Times New Roman" w:eastAsia="Times New Roman" w:hAnsi="Times New Roman"/>
                <w:b w:val="0"/>
                <w:bCs w:val="0"/>
                <w:sz w:val="16"/>
                <w:szCs w:val="16"/>
                <w:rtl w:val="0"/>
              </w:rPr>
              <w:t>3.119**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7">
            <w:pPr>
              <w:spacing w:line="240" w:lineRule="auto"/>
              <w:jc w:val="center"/>
              <w:rPr/>
            </w:pPr>
            <w:r>
              <w:rPr>
                <w:rFonts w:ascii="Times New Roman" w:cs="Times New Roman" w:eastAsia="Times New Roman" w:hAnsi="Times New Roman"/>
                <w:b w:val="0"/>
                <w:bCs w:val="0"/>
                <w:sz w:val="16"/>
                <w:szCs w:val="16"/>
                <w:rtl w:val="0"/>
              </w:rPr>
              <w:t>4.56 (.011)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8">
            <w:pPr>
              <w:spacing w:line="240" w:lineRule="auto"/>
              <w:jc w:val="center"/>
              <w:rPr/>
            </w:pPr>
            <w:r>
              <w:rPr>
                <w:rFonts w:ascii="Times New Roman" w:cs="Times New Roman" w:eastAsia="Times New Roman" w:hAnsi="Times New Roman"/>
                <w:b w:val="0"/>
                <w:bCs w:val="0"/>
                <w:sz w:val="16"/>
                <w:szCs w:val="16"/>
                <w:rtl w:val="0"/>
              </w:rPr>
              <w:t>0.196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9">
            <w:pPr>
              <w:spacing w:line="240" w:lineRule="auto"/>
              <w:jc w:val="left"/>
              <w:rPr/>
            </w:pPr>
            <w:r>
              <w:rPr>
                <w:rFonts w:ascii="Times New Roman" w:cs="Times New Roman" w:eastAsia="Times New Roman" w:hAnsi="Times New Roman"/>
                <w:b w:val="0"/>
                <w:bCs w:val="0"/>
                <w:sz w:val="16"/>
                <w:szCs w:val="16"/>
                <w:rtl w:val="0"/>
              </w:rPr>
              <w:t>R1: DAI_thin (website c22b only)</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A">
            <w:pPr>
              <w:spacing w:line="240" w:lineRule="auto"/>
              <w:jc w:val="center"/>
              <w:rPr/>
            </w:pPr>
            <w:r>
              <w:rPr>
                <w:rFonts w:ascii="Times New Roman" w:cs="Times New Roman" w:eastAsia="Times New Roman" w:hAnsi="Times New Roman"/>
                <w:b w:val="0"/>
                <w:bCs w:val="0"/>
                <w:sz w:val="16"/>
                <w:szCs w:val="16"/>
                <w:rtl w:val="0"/>
              </w:rPr>
              <w:t>623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B">
            <w:pPr>
              <w:spacing w:line="240" w:lineRule="auto"/>
              <w:jc w:val="center"/>
              <w:rPr/>
            </w:pPr>
            <w:r>
              <w:rPr>
                <w:rFonts w:ascii="Times New Roman" w:cs="Times New Roman" w:eastAsia="Times New Roman" w:hAnsi="Times New Roman"/>
                <w:b w:val="0"/>
                <w:bCs w:val="0"/>
                <w:sz w:val="16"/>
                <w:szCs w:val="16"/>
                <w:rtl w:val="0"/>
              </w:rPr>
              <w:t>0.180***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C">
            <w:pPr>
              <w:spacing w:line="240" w:lineRule="auto"/>
              <w:jc w:val="center"/>
              <w:rPr/>
            </w:pPr>
            <w:r>
              <w:rPr>
                <w:rFonts w:ascii="Times New Roman" w:cs="Times New Roman" w:eastAsia="Times New Roman" w:hAnsi="Times New Roman"/>
                <w:b w:val="0"/>
                <w:bCs w:val="0"/>
                <w:sz w:val="16"/>
                <w:szCs w:val="16"/>
                <w:rtl w:val="0"/>
              </w:rPr>
              <w:t>1.552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D">
            <w:pPr>
              <w:spacing w:line="240" w:lineRule="auto"/>
              <w:jc w:val="center"/>
              <w:rPr/>
            </w:pPr>
            <w:r>
              <w:rPr>
                <w:rFonts w:ascii="Times New Roman" w:cs="Times New Roman" w:eastAsia="Times New Roman" w:hAnsi="Times New Roman"/>
                <w:b w:val="0"/>
                <w:bCs w:val="0"/>
                <w:sz w:val="16"/>
                <w:szCs w:val="16"/>
                <w:rtl w:val="0"/>
              </w:rPr>
              <w:t>4.01 (.019)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E">
            <w:pPr>
              <w:spacing w:line="240" w:lineRule="auto"/>
              <w:jc w:val="center"/>
              <w:rPr/>
            </w:pPr>
            <w:r>
              <w:rPr>
                <w:rFonts w:ascii="Times New Roman" w:cs="Times New Roman" w:eastAsia="Times New Roman" w:hAnsi="Times New Roman"/>
                <w:b w:val="0"/>
                <w:bCs w:val="0"/>
                <w:sz w:val="16"/>
                <w:szCs w:val="16"/>
                <w:rtl w:val="0"/>
              </w:rPr>
              <w:t>0.188</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F">
            <w:pPr>
              <w:spacing w:line="240" w:lineRule="auto"/>
              <w:jc w:val="left"/>
              <w:rPr/>
            </w:pPr>
            <w:r>
              <w:rPr>
                <w:rFonts w:ascii="Times New Roman" w:cs="Times New Roman" w:eastAsia="Times New Roman" w:hAnsi="Times New Roman"/>
                <w:b w:val="0"/>
                <w:bCs w:val="0"/>
                <w:sz w:val="16"/>
                <w:szCs w:val="16"/>
                <w:rtl w:val="0"/>
              </w:rPr>
              <w:t>R2: TCI_thin (e6 + b8)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0">
            <w:pPr>
              <w:spacing w:line="240" w:lineRule="auto"/>
              <w:jc w:val="center"/>
              <w:rPr/>
            </w:pPr>
            <w:r>
              <w:rPr>
                <w:rFonts w:ascii="Times New Roman" w:cs="Times New Roman" w:eastAsia="Times New Roman" w:hAnsi="Times New Roman"/>
                <w:b w:val="0"/>
                <w:bCs w:val="0"/>
                <w:sz w:val="16"/>
                <w:szCs w:val="16"/>
                <w:rtl w:val="0"/>
              </w:rPr>
              <w:t>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1">
            <w:pPr>
              <w:spacing w:line="240" w:lineRule="auto"/>
              <w:jc w:val="center"/>
              <w:rPr/>
            </w:pPr>
            <w:r>
              <w:rPr>
                <w:rFonts w:ascii="Times New Roman" w:cs="Times New Roman" w:eastAsia="Times New Roman" w:hAnsi="Times New Roman"/>
                <w:b w:val="0"/>
                <w:bCs w:val="0"/>
                <w:sz w:val="16"/>
                <w:szCs w:val="16"/>
                <w:rtl w:val="0"/>
              </w:rPr>
              <w:t>0.159***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2">
            <w:pPr>
              <w:spacing w:line="240" w:lineRule="auto"/>
              <w:jc w:val="center"/>
              <w:rPr/>
            </w:pPr>
            <w:r>
              <w:rPr>
                <w:rFonts w:ascii="Times New Roman" w:cs="Times New Roman" w:eastAsia="Times New Roman" w:hAnsi="Times New Roman"/>
                <w:b w:val="0"/>
                <w:bCs w:val="0"/>
                <w:sz w:val="16"/>
                <w:szCs w:val="16"/>
                <w:rtl w:val="0"/>
              </w:rPr>
              <w:t>2.930**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3">
            <w:pPr>
              <w:spacing w:line="240" w:lineRule="auto"/>
              <w:jc w:val="center"/>
              <w:rPr/>
            </w:pPr>
            <w:r>
              <w:rPr>
                <w:rFonts w:ascii="Times New Roman" w:cs="Times New Roman" w:eastAsia="Times New Roman" w:hAnsi="Times New Roman"/>
                <w:b w:val="0"/>
                <w:bCs w:val="0"/>
                <w:sz w:val="16"/>
                <w:szCs w:val="16"/>
                <w:rtl w:val="0"/>
              </w:rPr>
              <w:t>4.27 (.014)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4">
            <w:pPr>
              <w:spacing w:line="240" w:lineRule="auto"/>
              <w:jc w:val="center"/>
              <w:rPr/>
            </w:pPr>
            <w:r>
              <w:rPr>
                <w:rFonts w:ascii="Times New Roman" w:cs="Times New Roman" w:eastAsia="Times New Roman" w:hAnsi="Times New Roman"/>
                <w:b w:val="0"/>
                <w:bCs w:val="0"/>
                <w:sz w:val="16"/>
                <w:szCs w:val="16"/>
                <w:rtl w:val="0"/>
              </w:rPr>
              <w:t>0.199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5">
            <w:pPr>
              <w:spacing w:line="240" w:lineRule="auto"/>
              <w:jc w:val="left"/>
              <w:rPr/>
            </w:pPr>
            <w:r>
              <w:rPr>
                <w:rFonts w:ascii="Times New Roman" w:cs="Times New Roman" w:eastAsia="Times New Roman" w:hAnsi="Times New Roman"/>
                <w:b w:val="0"/>
                <w:bCs w:val="0"/>
                <w:sz w:val="16"/>
                <w:szCs w:val="16"/>
                <w:rtl w:val="0"/>
              </w:rPr>
              <w:t>R3: Excl micro-firms (&lt;10 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6">
            <w:pPr>
              <w:spacing w:line="240" w:lineRule="auto"/>
              <w:jc w:val="center"/>
              <w:rPr/>
            </w:pPr>
            <w:r>
              <w:rPr>
                <w:rFonts w:ascii="Times New Roman" w:cs="Times New Roman" w:eastAsia="Times New Roman" w:hAnsi="Times New Roman"/>
                <w:b w:val="0"/>
                <w:bCs w:val="0"/>
                <w:sz w:val="16"/>
                <w:szCs w:val="16"/>
                <w:rtl w:val="0"/>
              </w:rPr>
              <w:t>464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7">
            <w:pPr>
              <w:spacing w:line="240" w:lineRule="auto"/>
              <w:jc w:val="center"/>
              <w:rPr/>
            </w:pPr>
            <w:r>
              <w:rPr>
                <w:rFonts w:ascii="Times New Roman" w:cs="Times New Roman" w:eastAsia="Times New Roman" w:hAnsi="Times New Roman"/>
                <w:b w:val="0"/>
                <w:bCs w:val="0"/>
                <w:sz w:val="16"/>
                <w:szCs w:val="16"/>
                <w:rtl w:val="0"/>
              </w:rPr>
              <w:t>0.170***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8">
            <w:pPr>
              <w:spacing w:line="240" w:lineRule="auto"/>
              <w:jc w:val="center"/>
              <w:rPr/>
            </w:pPr>
            <w:r>
              <w:rPr>
                <w:rFonts w:ascii="Times New Roman" w:cs="Times New Roman" w:eastAsia="Times New Roman" w:hAnsi="Times New Roman"/>
                <w:b w:val="0"/>
                <w:bCs w:val="0"/>
                <w:sz w:val="16"/>
                <w:szCs w:val="16"/>
                <w:rtl w:val="0"/>
              </w:rPr>
              <w:t>3.521**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9">
            <w:pPr>
              <w:spacing w:line="240" w:lineRule="auto"/>
              <w:jc w:val="center"/>
              <w:rPr/>
            </w:pPr>
            <w:r>
              <w:rPr>
                <w:rFonts w:ascii="Times New Roman" w:cs="Times New Roman" w:eastAsia="Times New Roman" w:hAnsi="Times New Roman"/>
                <w:b w:val="0"/>
                <w:bCs w:val="0"/>
                <w:sz w:val="16"/>
                <w:szCs w:val="16"/>
                <w:rtl w:val="0"/>
              </w:rPr>
              <w:t>4.61 (.010)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A">
            <w:pPr>
              <w:spacing w:line="240" w:lineRule="auto"/>
              <w:jc w:val="center"/>
              <w:rPr/>
            </w:pPr>
            <w:r>
              <w:rPr>
                <w:rFonts w:ascii="Times New Roman" w:cs="Times New Roman" w:eastAsia="Times New Roman" w:hAnsi="Times New Roman"/>
                <w:b w:val="0"/>
                <w:bCs w:val="0"/>
                <w:sz w:val="16"/>
                <w:szCs w:val="16"/>
                <w:rtl w:val="0"/>
              </w:rPr>
              <w:t>0.219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B">
            <w:pPr>
              <w:spacing w:line="240" w:lineRule="auto"/>
              <w:jc w:val="left"/>
              <w:rPr/>
            </w:pPr>
            <w:r>
              <w:rPr>
                <w:rFonts w:ascii="Gungsuh" w:cs="Gungsuh" w:eastAsia="Gungsuh" w:hAnsi="Gungsuh"/>
                <w:b w:val="0"/>
                <w:bCs w:val="0"/>
                <w:sz w:val="16"/>
                <w:szCs w:val="16"/>
                <w:rtl w:val="0"/>
              </w:rPr>
              <w:t>R4: SMEs only (≤200 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C">
            <w:pPr>
              <w:spacing w:line="240" w:lineRule="auto"/>
              <w:jc w:val="center"/>
              <w:rPr/>
            </w:pPr>
            <w:r>
              <w:rPr>
                <w:rFonts w:ascii="Times New Roman" w:cs="Times New Roman" w:eastAsia="Times New Roman" w:hAnsi="Times New Roman"/>
                <w:b w:val="0"/>
                <w:bCs w:val="0"/>
                <w:sz w:val="16"/>
                <w:szCs w:val="16"/>
                <w:rtl w:val="0"/>
              </w:rPr>
              <w:t>595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D">
            <w:pPr>
              <w:spacing w:line="240" w:lineRule="auto"/>
              <w:jc w:val="center"/>
              <w:rPr/>
            </w:pPr>
            <w:r>
              <w:rPr>
                <w:rFonts w:ascii="Times New Roman" w:cs="Times New Roman" w:eastAsia="Times New Roman" w:hAnsi="Times New Roman"/>
                <w:b w:val="0"/>
                <w:bCs w:val="0"/>
                <w:sz w:val="16"/>
                <w:szCs w:val="16"/>
                <w:rtl w:val="0"/>
              </w:rPr>
              <w:t>0.156***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E">
            <w:pPr>
              <w:spacing w:line="240" w:lineRule="auto"/>
              <w:jc w:val="center"/>
              <w:rPr/>
            </w:pPr>
            <w:r>
              <w:rPr>
                <w:rFonts w:ascii="Times New Roman" w:cs="Times New Roman" w:eastAsia="Times New Roman" w:hAnsi="Times New Roman"/>
                <w:b w:val="0"/>
                <w:bCs w:val="0"/>
                <w:sz w:val="16"/>
                <w:szCs w:val="16"/>
                <w:rtl w:val="0"/>
              </w:rPr>
              <w:t>3.505**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F">
            <w:pPr>
              <w:spacing w:line="240" w:lineRule="auto"/>
              <w:jc w:val="center"/>
              <w:rPr/>
            </w:pPr>
            <w:r>
              <w:rPr>
                <w:rFonts w:ascii="Times New Roman" w:cs="Times New Roman" w:eastAsia="Times New Roman" w:hAnsi="Times New Roman"/>
                <w:b w:val="0"/>
                <w:bCs w:val="0"/>
                <w:sz w:val="16"/>
                <w:szCs w:val="16"/>
                <w:rtl w:val="0"/>
              </w:rPr>
              <w:t>5.30 (.005)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0">
            <w:pPr>
              <w:spacing w:line="240" w:lineRule="auto"/>
              <w:jc w:val="center"/>
              <w:rPr/>
            </w:pPr>
            <w:r>
              <w:rPr>
                <w:rFonts w:ascii="Times New Roman" w:cs="Times New Roman" w:eastAsia="Times New Roman" w:hAnsi="Times New Roman"/>
                <w:b w:val="0"/>
                <w:bCs w:val="0"/>
                <w:sz w:val="16"/>
                <w:szCs w:val="16"/>
                <w:rtl w:val="0"/>
              </w:rPr>
              <w:t>0.199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1">
            <w:pPr>
              <w:spacing w:line="240" w:lineRule="auto"/>
              <w:jc w:val="left"/>
              <w:rPr/>
            </w:pPr>
            <w:r>
              <w:rPr>
                <w:rFonts w:ascii="Times New Roman" w:cs="Times New Roman" w:eastAsia="Times New Roman" w:hAnsi="Times New Roman"/>
                <w:b w:val="0"/>
                <w:bCs w:val="0"/>
                <w:sz w:val="16"/>
                <w:szCs w:val="16"/>
                <w:rtl w:val="0"/>
              </w:rPr>
              <w:t>R5: Exporters only (FSTS &gt; 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2">
            <w:pPr>
              <w:spacing w:line="240" w:lineRule="auto"/>
              <w:jc w:val="center"/>
              <w:rPr/>
            </w:pPr>
            <w:r>
              <w:rPr>
                <w:rFonts w:ascii="Times New Roman" w:cs="Times New Roman" w:eastAsia="Times New Roman" w:hAnsi="Times New Roman"/>
                <w:b w:val="0"/>
                <w:bCs w:val="0"/>
                <w:sz w:val="16"/>
                <w:szCs w:val="16"/>
                <w:rtl w:val="0"/>
              </w:rPr>
              <w:t>84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3">
            <w:pPr>
              <w:spacing w:line="240" w:lineRule="auto"/>
              <w:jc w:val="center"/>
              <w:rPr/>
            </w:pPr>
            <w:r>
              <w:rPr>
                <w:rFonts w:ascii="Times New Roman" w:cs="Times New Roman" w:eastAsia="Times New Roman" w:hAnsi="Times New Roman"/>
                <w:b w:val="0"/>
                <w:bCs w:val="0"/>
                <w:sz w:val="16"/>
                <w:szCs w:val="16"/>
                <w:rtl w:val="0"/>
              </w:rPr>
              <w:t>0.130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4">
            <w:pPr>
              <w:spacing w:line="240" w:lineRule="auto"/>
              <w:jc w:val="center"/>
              <w:rPr/>
            </w:pPr>
            <w:r>
              <w:rPr>
                <w:rFonts w:ascii="Times New Roman" w:cs="Times New Roman" w:eastAsia="Times New Roman" w:hAnsi="Times New Roman"/>
                <w:b w:val="0"/>
                <w:bCs w:val="0"/>
                <w:sz w:val="16"/>
                <w:szCs w:val="16"/>
                <w:rtl w:val="0"/>
              </w:rPr>
              <w:t>2.821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5">
            <w:pPr>
              <w:spacing w:line="240" w:lineRule="auto"/>
              <w:jc w:val="center"/>
              <w:rPr/>
            </w:pPr>
            <w:r>
              <w:rPr>
                <w:rFonts w:ascii="Times New Roman" w:cs="Times New Roman" w:eastAsia="Times New Roman" w:hAnsi="Times New Roman"/>
                <w:b w:val="0"/>
                <w:bCs w:val="0"/>
                <w:sz w:val="16"/>
                <w:szCs w:val="16"/>
                <w:rtl w:val="0"/>
              </w:rPr>
              <w:t>6.32 (.003)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6">
            <w:pPr>
              <w:spacing w:line="240" w:lineRule="auto"/>
              <w:jc w:val="center"/>
              <w:rPr/>
            </w:pPr>
            <w:r>
              <w:rPr>
                <w:rFonts w:ascii="Times New Roman" w:cs="Times New Roman" w:eastAsia="Times New Roman" w:hAnsi="Times New Roman"/>
                <w:b w:val="0"/>
                <w:bCs w:val="0"/>
                <w:sz w:val="16"/>
                <w:szCs w:val="16"/>
                <w:rtl w:val="0"/>
              </w:rPr>
              <w:t>0.165</w:t>
            </w:r>
            <w:r>
              <w:rPr>
                <w:rtl w:val="0"/>
              </w:rPr>
            </w:r>
          </w:p>
        </w:tc>
      </w:tr>
    </w:tbl>
    <w:p w:rsidR="00000000" w:rsidDel="00000000" w:rsidP="00000000" w:rsidRDefault="00000000" w:rsidRPr="00000000" w14:paraId="000001E7">
      <w:pPr>
        <w:spacing w:after="60" w:line="480" w:lineRule="auto"/>
        <w:jc w:val="left"/>
        <w:rPr/>
      </w:pPr>
      <w:r>
        <w:rPr>
          <w:rtl w:val="0"/>
        </w:rPr>
      </w:r>
    </w:p>
    <w:p w:rsidR="00000000" w:rsidDel="00000000" w:rsidP="00000000" w:rsidRDefault="00000000" w:rsidRPr="00000000" w14:paraId="000001E8">
      <w:pPr>
        <w:spacing w:after="240" w:line="480" w:lineRule="auto"/>
        <w:jc w:val="left"/>
        <w:rPr/>
      </w:pPr>
      <w:r>
        <w:rPr>
          <w:rFonts w:ascii="Gungsuh" w:cs="Gungsuh" w:eastAsia="Gungsuh" w:hAnsi="Gungsuh"/>
          <w:i w:val="1"/>
          <w:iCs w:val="1"/>
          <w:sz w:val="16"/>
          <w:szCs w:val="16"/>
          <w:rtl w:val="0"/>
        </w:rPr>
        <w:t>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rPr>
          <w:rtl w:val="0"/>
        </w:rPr>
      </w:r>
      <w:r>
        <w:rPr>
          <w:rFonts w:ascii="Times New Roman" w:hAnsi="Times New Roman"/>
          <w:sz w:val="18"/>
        </w:rPr>
      </w:r>
    </w:p>
    <w:p w:rsidR="00000000" w:rsidDel="00000000" w:rsidP="00000000" w:rsidRDefault="00000000" w:rsidRPr="00000000" w14:paraId="000001B9">
      <w:pPr>
        <w:spacing w:after="0" w:line="480" w:lineRule="auto"/>
        <w:ind w:firstLine="720"/>
        <w:jc w:val="both"/>
        <w:rPr/>
      </w:pPr>
      <w:r>
        <w:rPr>
          <w:rFonts w:ascii="Times New Roman" w:cs="Times New Roman" w:eastAsia="Times New Roman" w:hAnsi="Times New Roman"/>
          <w:sz w:val="20"/>
          <w:szCs w:val="20"/>
          <w:rtl w:val="0"/>
        </w:rPr>
        <w:t>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rPr>
          <w:rtl w:val="0"/>
        </w:rPr>
      </w:r>
    </w:p>
    <w:p w:rsidR="00000000" w:rsidDel="00000000" w:rsidP="00000000" w:rsidRDefault="00000000" w:rsidRPr="00000000" w14:paraId="000001E9">
      <w:pPr>
        <w:spacing w:after="240" w:before="360" w:lineRule="auto"/>
        <w:jc w:val="left"/>
        <w:rPr/>
      </w:pPr>
      <w:r>
        <w:rPr>
          <w:rFonts w:ascii="Times New Roman" w:cs="Times New Roman" w:eastAsia="Times New Roman" w:hAnsi="Times New Roman"/>
          <w:b w:val="1"/>
          <w:bCs w:val="1"/>
          <w:sz w:val="24"/>
          <w:szCs w:val="24"/>
          <w:rtl w:val="0"/>
        </w:rPr>
        <w:t xml:space="preserve">5 Discussion</w:t>
      </w:r>
      <w:r>
        <w:rPr>
          <w:rtl w:val="0"/>
        </w:rPr>
      </w:r>
    </w:p>
    <w:p w:rsidR="00000000" w:rsidDel="00000000" w:rsidP="00000000" w:rsidRDefault="00000000" w:rsidRPr="00000000" w14:paraId="000001EA">
      <w:pPr>
        <w:spacing w:after="160" w:before="280" w:lineRule="auto"/>
        <w:jc w:val="left"/>
        <w:rPr/>
      </w:pPr>
      <w:r>
        <w:rPr>
          <w:rFonts w:ascii="Times New Roman" w:cs="Times New Roman" w:eastAsia="Times New Roman" w:hAnsi="Times New Roman"/>
          <w:b w:val="1"/>
          <w:bCs w:val="1"/>
          <w:sz w:val="22"/>
          <w:szCs w:val="22"/>
          <w:rtl w:val="0"/>
        </w:rPr>
        <w:t xml:space="preserve">5.1 Theoretical implications</w:t>
      </w:r>
      <w:r>
        <w:rPr>
          <w:rtl w:val="0"/>
        </w:rPr>
      </w:r>
    </w:p>
    <w:p w:rsidR="00000000" w:rsidDel="00000000" w:rsidP="00000000" w:rsidRDefault="00000000" w:rsidRPr="00000000" w14:paraId="000001EB">
      <w:pPr>
        <w:spacing w:after="0" w:line="480" w:lineRule="auto"/>
        <w:ind w:firstLine="720"/>
        <w:jc w:val="both"/>
        <w:rPr/>
      </w:pPr>
      <w:r>
        <w:rPr>
          <w:rFonts w:ascii="Times New Roman" w:cs="Times New Roman" w:eastAsia="Times New Roman" w:hAnsi="Times New Roman"/>
          <w:sz w:val="20"/>
          <w:szCs w:val="20"/>
          <w:rtl w:val="0"/>
        </w:rPr>
        <w:t>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internationalization–performance relationship. This pattern is consistent with the view that internal capability depth can improve how efficiently firms operate across markets without necessarily altering the coordination-cost dynamics that generate nonlinearity in the I–P relationship.</w:t>
      </w:r>
      <w:r>
        <w:rPr>
          <w:rtl w:val="0"/>
        </w:rPr>
      </w:r>
    </w:p>
    <w:p w:rsidR="00000000" w:rsidDel="00000000" w:rsidP="00000000" w:rsidRDefault="00000000" w:rsidRPr="00000000" w14:paraId="000001EC">
      <w:pPr>
        <w:spacing w:after="0" w:line="480" w:lineRule="auto"/>
        <w:ind w:firstLine="720"/>
        <w:jc w:val="both"/>
        <w:rPr/>
      </w:pPr>
      <w:r>
        <w:rPr>
          <w:rFonts w:ascii="Times New Roman" w:cs="Times New Roman" w:eastAsia="Times New Roman" w:hAnsi="Times New Roman"/>
          <w:sz w:val="20"/>
          <w:szCs w:val="20"/>
          <w:rtl w:val="0"/>
        </w:rPr>
        <w:t>Second, the present evidence qualifies rather than overturns the conventional nonlinear I–P literature (Contractor et al. 2003; Hitt et al. 1997; Lu &amp; Beamish 2004; Marano et al. 2016). The baseline relationship remains mildly curved, but the negative right-hand side of the curve is not formally established within the observed export-intensity range. A useful interpretation is that, in a extreme-case Singapore setting,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may not generalize to extreme-case Singapore settings without explicit specification of the digital-infrastructure boundary under which it holds.</w:t>
      </w:r>
      <w:r>
        <w:rPr>
          <w:rtl w:val="0"/>
        </w:rPr>
      </w:r>
    </w:p>
    <w:p w:rsidR="00000000" w:rsidDel="00000000" w:rsidP="00000000" w:rsidRDefault="00000000" w:rsidRPr="00000000" w14:paraId="000001ED">
      <w:pPr>
        <w:spacing w:after="0" w:line="480" w:lineRule="auto"/>
        <w:ind w:firstLine="720"/>
        <w:jc w:val="both"/>
        <w:rPr/>
      </w:pPr>
      <w:r>
        <w:rPr>
          <w:rFonts w:ascii="Times New Roman" w:cs="Times New Roman" w:eastAsia="Times New Roman" w:hAnsi="Times New Roman"/>
          <w:sz w:val="20"/>
          <w:szCs w:val="20"/>
          <w:rtl w:val="0"/>
        </w:rPr>
        <w:t>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Distinguishing DAI from TCI therefore does more than improve terminology; it clarifies that firm-internal capability depth and digitally enabled cross-border orchestration are analytically distinct sources of performance heterogeneity. In the present setting, the observed DAI effect should be understood as evidence about the productivity relevance of Tier 1–2 digitalization in a digitally mature economy, not as direct evidence about deeper digitally integrated organizational capability.</w:t>
      </w:r>
      <w:r>
        <w:rPr>
          <w:rtl w:val="0"/>
        </w:rPr>
      </w:r>
      <w:r>
        <w:rPr>
          <w:rFonts w:ascii="Times New Roman" w:hAnsi="Times New Roman"/>
          <w:sz w:val="22"/>
        </w:rPr>
      </w:r>
    </w:p>
    <w:p w:rsidR="00000000" w:rsidDel="00000000" w:rsidP="00000000" w:rsidRDefault="00000000" w:rsidRPr="00000000" w14:paraId="000001EE">
      <w:pPr>
        <w:spacing w:after="160" w:before="280" w:lineRule="auto"/>
        <w:jc w:val="left"/>
        <w:rPr/>
      </w:pPr>
      <w:r>
        <w:rPr>
          <w:rFonts w:ascii="Times New Roman" w:cs="Times New Roman" w:eastAsia="Times New Roman" w:hAnsi="Times New Roman"/>
          <w:b w:val="1"/>
          <w:bCs w:val="1"/>
          <w:sz w:val="22"/>
          <w:szCs w:val="22"/>
          <w:rtl w:val="0"/>
        </w:rPr>
        <w:t xml:space="preserve">5.2 Managerial implications</w:t>
      </w:r>
      <w:r>
        <w:rPr>
          <w:rtl w:val="0"/>
        </w:rPr>
      </w:r>
    </w:p>
    <w:p w:rsidR="00000000" w:rsidDel="00000000" w:rsidP="00000000" w:rsidRDefault="00000000" w:rsidRPr="00000000" w14:paraId="000001EF">
      <w:pPr>
        <w:spacing w:after="0" w:line="480" w:lineRule="auto"/>
        <w:ind w:firstLine="720"/>
        <w:jc w:val="both"/>
        <w:rPr/>
      </w:pPr>
      <w:r>
        <w:rPr>
          <w:rFonts w:ascii="Times New Roman" w:cs="Times New Roman" w:eastAsia="Times New Roman" w:hAnsi="Times New Roman"/>
          <w:sz w:val="20"/>
          <w:szCs w:val="20"/>
          <w:rtl w:val="0"/>
        </w:rPr>
        <w:t>For firms operating in digitally mature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 For firms that are already deeply engaged in export markets, the implication is therefore strategic rather than merely symbolic: foundational digital systems seem to matter most when coordination demands across customers, suppliers, and foreign-market transactions become dense enough for those systems to be used intensively.</w:t>
      </w:r>
      <w:r>
        <w:rPr>
          <w:rtl w:val="0"/>
        </w:rPr>
      </w:r>
    </w:p>
    <w:p w:rsidR="00000000" w:rsidDel="00000000" w:rsidP="00000000" w:rsidRDefault="00000000" w:rsidRPr="00000000" w14:paraId="000001EF">
      <w:pPr>
        <w:spacing w:after="0" w:line="480" w:lineRule="auto"/>
        <w:ind w:firstLine="720"/>
        <w:jc w:val="both"/>
        <w:rPr/>
      </w:pPr>
      <w:r>
        <w:rPr>
          <w:rFonts w:ascii="Times New Roman" w:cs="Times New Roman" w:eastAsia="Times New Roman" w:hAnsi="Times New Roman"/>
          <w:sz w:val="20"/>
          <w:szCs w:val="20"/>
          <w:rtl w:val="0"/>
        </w:rPr>
        <w:t>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 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r>
        <w:rPr>
          <w:rtl w:val="0"/>
        </w:rPr>
      </w:r>
    </w:p>
    <w:p w:rsidR="00000000" w:rsidDel="00000000" w:rsidP="00000000" w:rsidRDefault="00000000" w:rsidRPr="00000000" w14:paraId="000001F0">
      <w:pPr>
        <w:spacing w:after="0" w:line="480" w:lineRule="auto"/>
        <w:ind w:firstLine="720"/>
        <w:jc w:val="both"/>
        <w:rPr/>
      </w:pPr>
      <w:r>
        <w:rPr>
          <w:rFonts w:ascii="Times New Roman" w:cs="Times New Roman" w:eastAsia="Times New Roman" w:hAnsi="Times New Roman"/>
          <w:sz w:val="20"/>
          <w:szCs w:val="20"/>
          <w:rtl w:val="0"/>
        </w:rPr>
        <w:t>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r>
        <w:rPr>
          <w:rtl w:val="0"/>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6 Conclusion</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This study revisits the internationalization–performance relationship in a digitally mature economy by distinguishing technological capability from digital adoption and examining how each relates to labour productivity in Singapore. Using World Bank Enterprise Survey microdata for Singapore 2023, the analysis shows that technological capability is positively associated with productivity and operates primarily as a level-shift effect, whereas digital adoption shows conditional relevance that becomes more positive at higher levels of export intensity.</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The findings also refine the interpretation of the nonlinear I–P literature in digitally mature settings. Within the observed export-intensity range, the baseline pattern is best characterized as predominantly monotonic positive with mild quadratic curvature rather than as a formally identified inverted-U. Read in this way, the evidence does not overturn the established I–P literature, but instead suggests that, in digitally mature economies, the right-side decline of the curve may be attenuated or shifted toward sparsely populated levels of export intensity.</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More broadly, the study contributes to international business research by sharpening construct validity and clarifying a boundary condition of digital internationalization. Technological capability appears to capture firm-internal capability depth, whereas foundational digital adoption is better understood as a contingent scaling resource whose productivity relevance becomes more visible as cross-border coordination demands increase.</w:t>
      </w:r>
      <w:r>
        <w:rPr>
          <w:rtl w:val="0"/>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7 Limitations and Future Research</w:t>
      </w:r>
      <w:r>
        <w:rPr>
          <w:rtl w:val="0"/>
        </w:rPr>
      </w:r>
    </w:p>
    <w:p w:rsidR="00000000" w:rsidDel="00000000" w:rsidP="00000000" w:rsidRDefault="00000000" w:rsidRPr="00000000" w14:paraId="000001F4">
      <w:pPr>
        <w:spacing w:after="0" w:line="480" w:lineRule="auto"/>
        <w:ind w:firstLine="720"/>
        <w:jc w:val="both"/>
        <w:rPr/>
      </w:pPr>
      <w:r>
        <w:rPr>
          <w:rFonts w:ascii="Times New Roman" w:cs="Times New Roman" w:eastAsia="Times New Roman" w:hAnsi="Times New Roman"/>
          <w:sz w:val="20"/>
          <w:szCs w:val="20"/>
          <w:rtl w:val="0"/>
        </w:rPr>
        <w:t>Three limitations warrant explicit caution in interpreting the findings. First, the analysis is a single-country cross-section, and the identification strategy is therefore associational rather than causal. The observed positive associations among TCI, DAI, internationalization, and labour productivity admit at least two non-causal interpretations consistent with the data. The first is productivity-driven self-selection into digital adoption: more productive firms may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read the present results as extreme-case, within-context evidence from Singapore: the estimated patterns describe how productivity, technological capability, and digital adoption co-move with export intensity in a digitally mature economy, while leaving causal identification of any specific mechanism to designs that cannot be implemented in the present study.</w:t>
      </w:r>
      <w:r>
        <w:rPr>
          <w:rtl w:val="0"/>
        </w:rPr>
      </w:r>
    </w:p>
    <w:p w:rsidR="00000000" w:rsidDel="00000000" w:rsidP="00000000" w:rsidRDefault="00000000" w:rsidRPr="00000000" w14:paraId="000001F5">
      <w:pPr>
        <w:spacing w:after="0" w:line="480" w:lineRule="auto"/>
        <w:ind w:firstLine="720"/>
        <w:jc w:val="both"/>
        <w:rPr/>
      </w:pPr>
      <w:r>
        <w:rPr>
          <w:rFonts w:ascii="Gungsuh" w:cs="Gungsuh" w:eastAsia="Gungsuh" w:hAnsi="Gungsuh"/>
          <w:sz w:val="20"/>
          <w:szCs w:val="20"/>
          <w:rtl w:val="0"/>
        </w:rPr>
        <w:t>Second, the sample contains a thin right tail of high-intensity exporters: 82.2% of firms report zero exports, 4.5% exceed 50% export intensity, and only 3.2% exceed 70%. Two consequences follow. First, the implied quadratic turning point at 82% on the FSTS scale is identified from a sparsely populated region; 5,000-replication cluster bootstrap places the 95% percentile confidence interval at [53%, 253%], so the turning point is best read as an indicative descriptive feature rather than a structurally identified inflection — the inverted-U *shape* is robust (recovered in 96.3% of bootstrap replications) but its *location* is imprecise. Second, the DAI moderation pattern attains conventional joint significance in the full-sample, leave-one-out (100% of LOO fits), and trimmed-tail re-estimations (drop FSTS &gt; 70%: F = 5.51, p = .004; drop FSTS &gt; 80%: F = 4.42, p = .012); within the exporter-only subsample (N = 84) the joint F-test for DAI moderation remains significant (F = 6.32, p = .003) but the 95% confidence intervals for individual coefficients are wider, reflecting the small subsample size rather than a fragile underlying pattern. The appropriate caution therefore rests on (i) the thin upper-tail support for the precise location of the turning point and (ii) the borderline precision of individual moderation coefficients in the small exporter subsample, not on differences in adjusted R² across samples of unequal size and composition.</w:t>
      </w:r>
      <w:r>
        <w:rPr>
          <w:rtl w:val="0"/>
        </w:rPr>
      </w:r>
    </w:p>
    <w:p w:rsidR="00000000" w:rsidDel="00000000" w:rsidP="00000000" w:rsidRDefault="00000000" w:rsidRPr="00000000" w14:paraId="000001F6">
      <w:pPr>
        <w:spacing w:after="0" w:line="480" w:lineRule="auto"/>
        <w:ind w:firstLine="720"/>
        <w:jc w:val="both"/>
        <w:rPr/>
      </w:pPr>
      <w:r>
        <w:rPr>
          <w:rFonts w:ascii="Gungsuh" w:cs="Gungsuh" w:eastAsia="Gungsuh" w:hAnsi="Gungsuh"/>
          <w:sz w:val="20"/>
          <w:szCs w:val="20"/>
          <w:rtl w:val="0"/>
        </w:rPr>
        <w:t>Third, the estimated moderation effect is statistically detectable but substantively modest, and the present results should be read as an initial firm-level test of a conditional digital-adoption argument in one digitally mature setting rather than as definitive evidence of a generalized pattern across digitally mature economies. The DAI indicators available in WBES 2023 capture Tier 1–2 digital adoption — digital presence and digital transaction usage — rather than Tier 3–4 digital capability or dynamic capability; indicator-sensitivity analysis shows that the moderation pattern depends on the foundational digital-infrastructure indicators (firm website and electronic-payment-to-suppliers usage) and weakens when these specific indicators are dropped. Although equivalence-testing approaches (Lakens et al. 2018) could in principle quantify the support for null moderation in subsamples, the present sample size limits their power, and the more cautious reading is that absence of moderation cannot be inferred from non-significance alone. Whether the scale-enabling-complement pattern persists, attenuates, or is amplified under richer measures of digitally integrated organizational capabilities remains an open empirical question. Future research should therefore examine whether the same pattern appears in other digitally mature economies, such as Hong Kong, the Republic of Korea, and Taiwan, and under purpose-designed instruments that capture deeper digital dynamic capabilities. Future research should also extend this measurement architecture by linking WBES-type microdata, where confidentiality arrangements permit, to firm-level databases or by using purpose-built survey instruments that better capture process-level digital integration and higher-order capability depth. More broadly, future work should examine whether the scale-enabling-complement pattern operates through identifiable mechanisms such as supplier-side digital integration, customer-facing digital channels, or internal ERP integration. Causal identification, in particular, would benefit from firm-level panel data, successive enterprise-survey waves, national statistical-office registers, or proprietary databases that permit firm fixed-effects estimation. Where suitable instruments are available, such as regional digital-infrastructure rollouts or plausibly exogenous trade-policy shocks, instrumental-variable or difference-in-differences designs would further upgrade the present associational evidence to causal identification.</w:t>
      </w:r>
      <w:r>
        <w:rPr>
          <w:rtl w:val="0"/>
        </w:rPr>
      </w:r>
      <w:r>
        <w:rPr>
          <w:rFonts w:ascii="Times New Roman" w:hAnsi="Times New Roman"/>
          <w:sz w:val="22"/>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Data Availability Statement</w:t>
      </w:r>
      <w:r>
        <w:rPr>
          <w:rtl w:val="0"/>
        </w:rPr>
      </w:r>
    </w:p>
    <w:p w:rsidR="00000000" w:rsidDel="00000000" w:rsidP="00000000" w:rsidRDefault="00000000" w:rsidRPr="00000000" w14:paraId="000001F4">
      <w:pPr>
        <w:spacing w:after="0" w:line="480" w:lineRule="auto"/>
        <w:ind w:firstLine="720"/>
        <w:jc w:val="both"/>
        <w:rPr/>
      </w:pPr>
      <w:r>
        <w:rPr>
          <w:rFonts w:ascii="Times New Roman" w:cs="Times New Roman" w:eastAsia="Times New Roman" w:hAnsi="Times New Roman"/>
          <w:sz w:val="20"/>
          <w:szCs w:val="20"/>
          <w:rtl w:val="0"/>
        </w:rPr>
        <w:t>The data analyzed in this study are from the World Bank Enterprise Survey (WBES) Singapore 2023 wave, publicly available at https://www.enterprisesurveys.org. Analysis scripts to replicate the results are available from the corresponding author on reasonable request.</w:t>
      </w:r>
      <w:r>
        <w:rPr>
          <w:rtl w:val="0"/>
        </w:rPr>
      </w:r>
    </w:p>
    <w:p w:rsidR="00000000" w:rsidDel="00000000" w:rsidP="00000000" w:rsidRDefault="00000000" w:rsidRPr="00000000" w14:paraId="000001F8">
      <w:pPr>
        <w:pageBreakBefore w:val="1"/>
        <w:spacing w:after="240" w:before="360" w:lineRule="auto"/>
        <w:jc w:val="left"/>
        <w:rPr/>
      </w:pPr>
      <w:r>
        <w:rPr>
          <w:rFonts w:ascii="Times New Roman" w:cs="Times New Roman" w:eastAsia="Times New Roman" w:hAnsi="Times New Roman"/>
          <w:b w:val="1"/>
          <w:bCs w:val="1"/>
          <w:sz w:val="24"/>
          <w:szCs w:val="24"/>
          <w:rtl w:val="0"/>
        </w:rPr>
        <w:t xml:space="preserve">References</w:t>
      </w:r>
      <w:r>
        <w:rPr>
          <w:rtl w:val="0"/>
        </w:rPr>
      </w:r>
    </w:p>
    <w:p w:rsidR="00000000" w:rsidDel="00000000" w:rsidP="00000000" w:rsidRDefault="00000000" w:rsidRPr="00000000" w14:paraId="000001F9">
      <w:pPr>
        <w:spacing w:after="60" w:line="360" w:lineRule="auto"/>
        <w:ind w:left="720" w:hanging="720"/>
        <w:jc w:val="left"/>
        <w:rPr/>
      </w:pPr>
      <w:r>
        <w:rPr>
          <w:rFonts w:ascii="Times New Roman" w:hAnsi="Times New Roman"/>
          <w:sz w:val="20"/>
        </w:rPr>
        <w:t xml:space="preserve">Aguinis, H., Beaty, J. C., Boik, R. J., &amp; Pierce, C. A. (2005). Effect size and power in assessing moderating effects of categorical variables using multiple regression: A 30-year review. </w:t>
      </w:r>
      <w:r>
        <w:rPr>
          <w:rFonts w:ascii="Times New Roman" w:hAnsi="Times New Roman"/>
          <w:i/>
          <w:sz w:val="20"/>
        </w:rPr>
        <w:t>Journal of Applied Psychology, 90</w:t>
      </w:r>
      <w:r>
        <w:rPr>
          <w:rFonts w:ascii="Times New Roman" w:hAnsi="Times New Roman"/>
          <w:sz w:val="20"/>
        </w:rPr>
        <w:t>(1), 94–107. https://doi.org/10.1037/0021-9010.90.1.94</w:t>
      </w:r>
    </w:p>
    <w:p w:rsidR="00000000" w:rsidDel="00000000" w:rsidP="00000000" w:rsidRDefault="00000000" w:rsidRPr="00000000" w14:paraId="000001FA">
      <w:pPr>
        <w:spacing w:after="60" w:line="360" w:lineRule="auto"/>
        <w:ind w:left="720" w:hanging="720"/>
        <w:jc w:val="left"/>
        <w:rPr/>
      </w:pPr>
      <w:r>
        <w:rPr>
          <w:rFonts w:ascii="Times New Roman" w:hAnsi="Times New Roman"/>
          <w:sz w:val="20"/>
        </w:rPr>
        <w:t xml:space="preserve">Aiken, L. S., &amp; West, S. G. (1991). </w:t>
      </w:r>
      <w:r>
        <w:rPr>
          <w:rFonts w:ascii="Times New Roman" w:hAnsi="Times New Roman"/>
          <w:i/>
          <w:sz w:val="20"/>
        </w:rPr>
        <w:t>Multiple regression: Testing and interpreting interactions</w:t>
      </w:r>
      <w:r>
        <w:rPr>
          <w:rFonts w:ascii="Times New Roman" w:hAnsi="Times New Roman"/>
          <w:sz w:val="20"/>
        </w:rPr>
        <w:t>. Sage.</w:t>
      </w:r>
    </w:p>
    <w:p w:rsidR="00000000" w:rsidDel="00000000" w:rsidP="00000000" w:rsidRDefault="00000000" w:rsidRPr="00000000" w14:paraId="000001FB">
      <w:pPr>
        <w:spacing w:after="60" w:line="360" w:lineRule="auto"/>
        <w:ind w:left="720" w:hanging="720"/>
        <w:jc w:val="left"/>
        <w:rPr/>
      </w:pPr>
      <w:r>
        <w:rPr>
          <w:rFonts w:ascii="Times New Roman" w:hAnsi="Times New Roman"/>
          <w:sz w:val="20"/>
        </w:rPr>
        <w:t xml:space="preserve">Antonakis, J., Bendahan, S., Jacquart, P., &amp; Lalive, R. (2010). On making causal claims: A review and recommendations. </w:t>
      </w:r>
      <w:r>
        <w:rPr>
          <w:rFonts w:ascii="Times New Roman" w:hAnsi="Times New Roman"/>
          <w:i/>
          <w:sz w:val="20"/>
        </w:rPr>
        <w:t>The Leadership Quarterly, 21</w:t>
      </w:r>
      <w:r>
        <w:rPr>
          <w:rFonts w:ascii="Times New Roman" w:hAnsi="Times New Roman"/>
          <w:sz w:val="20"/>
        </w:rPr>
        <w:t>(6), 1086–1120. https://doi.org/10.1016/j.leaqua.2010.10.010</w:t>
      </w:r>
    </w:p>
    <w:p w:rsidR="00000000" w:rsidDel="00000000" w:rsidP="00000000" w:rsidRDefault="00000000" w:rsidRPr="00000000" w14:paraId="000001FC">
      <w:pPr>
        <w:spacing w:after="60" w:line="360" w:lineRule="auto"/>
        <w:ind w:left="720" w:hanging="720"/>
        <w:jc w:val="left"/>
        <w:rPr/>
      </w:pPr>
      <w:r>
        <w:rPr>
          <w:rFonts w:ascii="Times New Roman" w:hAnsi="Times New Roman"/>
          <w:sz w:val="20"/>
        </w:rPr>
        <w:t xml:space="preserve">Avenyo, E. K., Tregenna, F., &amp; Kraemer-Mbula, E. (2021). Do productive capabilities affect export performance? Microeconomic evidence from sub-Saharan Africa. </w:t>
      </w:r>
      <w:r>
        <w:rPr>
          <w:rFonts w:ascii="Times New Roman" w:hAnsi="Times New Roman"/>
          <w:i/>
          <w:sz w:val="20"/>
        </w:rPr>
        <w:t>The European Journal of Development Research, 33</w:t>
      </w:r>
      <w:r>
        <w:rPr>
          <w:rFonts w:ascii="Times New Roman" w:hAnsi="Times New Roman"/>
          <w:sz w:val="20"/>
        </w:rPr>
        <w:t>(2), 304–329. https://doi.org/10.1057/s41287-020-00328-2</w:t>
      </w:r>
    </w:p>
    <w:p w:rsidR="00000000" w:rsidDel="00000000" w:rsidP="00000000" w:rsidRDefault="00000000" w:rsidRPr="00000000" w14:paraId="000001FD">
      <w:pPr>
        <w:spacing w:after="60" w:line="360" w:lineRule="auto"/>
        <w:ind w:left="720" w:hanging="720"/>
        <w:jc w:val="left"/>
        <w:rPr/>
      </w:pPr>
      <w:r>
        <w:rPr>
          <w:rFonts w:ascii="Times New Roman" w:hAnsi="Times New Roman"/>
          <w:sz w:val="20"/>
        </w:rPr>
        <w:t xml:space="preserve">Banalieva, E. R., &amp; Dhanaraj, C. (2019). Internalization theory for the digital economy. </w:t>
      </w:r>
      <w:r>
        <w:rPr>
          <w:rFonts w:ascii="Times New Roman" w:hAnsi="Times New Roman"/>
          <w:i/>
          <w:sz w:val="20"/>
        </w:rPr>
        <w:t>Journal of International Business Studies, 50</w:t>
      </w:r>
      <w:r>
        <w:rPr>
          <w:rFonts w:ascii="Times New Roman" w:hAnsi="Times New Roman"/>
          <w:sz w:val="20"/>
        </w:rPr>
        <w:t>(8), 1372–1387. https://doi.org/10.1057/s41267-019-00243-7</w:t>
      </w:r>
    </w:p>
    <w:p w:rsidR="00000000" w:rsidDel="00000000" w:rsidP="00000000" w:rsidRDefault="00000000" w:rsidRPr="00000000" w14:paraId="000001FE">
      <w:pPr>
        <w:spacing w:after="60" w:line="360" w:lineRule="auto"/>
        <w:ind w:left="720" w:hanging="720"/>
        <w:jc w:val="left"/>
        <w:rPr/>
      </w:pPr>
      <w:r>
        <w:rPr>
          <w:rFonts w:ascii="Times New Roman" w:hAnsi="Times New Roman"/>
          <w:sz w:val="20"/>
        </w:rPr>
        <w:t xml:space="preserve">Barney, J. (1991). Firm resources and sustained competitive advantage. </w:t>
      </w:r>
      <w:r>
        <w:rPr>
          <w:rFonts w:ascii="Times New Roman" w:hAnsi="Times New Roman"/>
          <w:i/>
          <w:sz w:val="20"/>
        </w:rPr>
        <w:t>Journal of Management, 17</w:t>
      </w:r>
      <w:r>
        <w:rPr>
          <w:rFonts w:ascii="Times New Roman" w:hAnsi="Times New Roman"/>
          <w:sz w:val="20"/>
        </w:rPr>
        <w:t>(1), 99–120. https://doi.org/10.1177/014920639101700108</w:t>
      </w:r>
    </w:p>
    <w:p w:rsidR="00000000" w:rsidDel="00000000" w:rsidP="00000000" w:rsidRDefault="00000000" w:rsidRPr="00000000" w14:paraId="000001FF">
      <w:pPr>
        <w:spacing w:after="60" w:line="360" w:lineRule="auto"/>
        <w:ind w:left="720" w:hanging="720"/>
        <w:jc w:val="left"/>
        <w:rPr/>
      </w:pPr>
      <w:r>
        <w:rPr>
          <w:rFonts w:ascii="Times New Roman" w:hAnsi="Times New Roman"/>
          <w:sz w:val="20"/>
        </w:rPr>
        <w:t xml:space="preserve">Bharadwaj, A., El Sawy, O. A., Pavlou, P. A., &amp; Venkatraman, N. (2013). Digital business strategy: Toward a next generation of insights. </w:t>
      </w:r>
      <w:r>
        <w:rPr>
          <w:rFonts w:ascii="Times New Roman" w:hAnsi="Times New Roman"/>
          <w:i/>
          <w:sz w:val="20"/>
        </w:rPr>
        <w:t>MIS Quarterly, 37</w:t>
      </w:r>
      <w:r>
        <w:rPr>
          <w:rFonts w:ascii="Times New Roman" w:hAnsi="Times New Roman"/>
          <w:sz w:val="20"/>
        </w:rPr>
        <w:t>(2), 471–482. https://doi.org/10.25300/MISQ/2013/37:2.3</w:t>
      </w:r>
    </w:p>
    <w:p w:rsidR="00000000" w:rsidDel="00000000" w:rsidP="00000000" w:rsidRDefault="00000000" w:rsidRPr="00000000" w14:paraId="00000200">
      <w:pPr>
        <w:spacing w:after="60" w:line="360" w:lineRule="auto"/>
        <w:ind w:left="720" w:hanging="720"/>
        <w:jc w:val="left"/>
        <w:rPr/>
      </w:pPr>
      <w:r>
        <w:rPr>
          <w:rFonts w:ascii="Times New Roman" w:hAnsi="Times New Roman"/>
          <w:sz w:val="20"/>
        </w:rPr>
        <w:t xml:space="preserve">Brynjolfsson, E., Rock, D., &amp; Syverson, C. (2021). The productivity J-curve: How intangibles complement general purpose technologies. </w:t>
      </w:r>
      <w:r>
        <w:rPr>
          <w:rFonts w:ascii="Times New Roman" w:hAnsi="Times New Roman"/>
          <w:i/>
          <w:sz w:val="20"/>
        </w:rPr>
        <w:t>American Economic Journal: Macroeconomics, 13</w:t>
      </w:r>
      <w:r>
        <w:rPr>
          <w:rFonts w:ascii="Times New Roman" w:hAnsi="Times New Roman"/>
          <w:sz w:val="20"/>
        </w:rPr>
        <w:t>(1), 333–372. https://doi.org/10.1257/mac.20180386</w:t>
      </w:r>
    </w:p>
    <w:p w:rsidR="00000000" w:rsidDel="00000000" w:rsidP="00000000" w:rsidRDefault="00000000" w:rsidRPr="00000000" w14:paraId="00000201">
      <w:pPr>
        <w:spacing w:after="60" w:line="360" w:lineRule="auto"/>
        <w:ind w:left="720" w:hanging="720"/>
        <w:jc w:val="left"/>
        <w:rPr/>
      </w:pPr>
      <w:r>
        <w:rPr>
          <w:rFonts w:ascii="Times New Roman" w:hAnsi="Times New Roman"/>
          <w:sz w:val="20"/>
        </w:rPr>
        <w:t xml:space="preserve">Cohen, J. (1988). </w:t>
      </w:r>
      <w:r>
        <w:rPr>
          <w:rFonts w:ascii="Times New Roman" w:hAnsi="Times New Roman"/>
          <w:i/>
          <w:sz w:val="20"/>
        </w:rPr>
        <w:t>Statistical power analysis for the behavioral sciences</w:t>
      </w:r>
      <w:r>
        <w:rPr>
          <w:rFonts w:ascii="Times New Roman" w:hAnsi="Times New Roman"/>
          <w:sz w:val="20"/>
        </w:rPr>
        <w:t xml:space="preserve"> (2nd ed.). Lawrence Erlbaum.</w:t>
      </w:r>
    </w:p>
    <w:p w:rsidR="00000000" w:rsidDel="00000000" w:rsidP="00000000" w:rsidRDefault="00000000" w:rsidRPr="00000000" w14:paraId="00000202">
      <w:pPr>
        <w:spacing w:after="60" w:line="360" w:lineRule="auto"/>
        <w:ind w:left="720" w:hanging="720"/>
        <w:jc w:val="left"/>
        <w:rPr/>
      </w:pPr>
      <w:r>
        <w:rPr>
          <w:rFonts w:ascii="Times New Roman" w:hAnsi="Times New Roman"/>
          <w:sz w:val="20"/>
        </w:rPr>
        <w:t xml:space="preserve">Cohen, W. M., &amp; Levinthal, D. A. (1990). Absorptive capacity: A new perspective on learning and innovation. </w:t>
      </w:r>
      <w:r>
        <w:rPr>
          <w:rFonts w:ascii="Times New Roman" w:hAnsi="Times New Roman"/>
          <w:i/>
          <w:sz w:val="20"/>
        </w:rPr>
        <w:t>Administrative Science Quarterly, 35</w:t>
      </w:r>
      <w:r>
        <w:rPr>
          <w:rFonts w:ascii="Times New Roman" w:hAnsi="Times New Roman"/>
          <w:sz w:val="20"/>
        </w:rPr>
        <w:t>(1), 128–152. https://doi.org/10.2307/2393553</w:t>
      </w:r>
    </w:p>
    <w:p w:rsidR="00000000" w:rsidDel="00000000" w:rsidP="00000000" w:rsidRDefault="00000000" w:rsidRPr="00000000" w14:paraId="00000203">
      <w:pPr>
        <w:spacing w:after="60" w:line="360" w:lineRule="auto"/>
        <w:ind w:left="720" w:hanging="720"/>
        <w:jc w:val="left"/>
        <w:rPr/>
      </w:pPr>
      <w:r>
        <w:rPr>
          <w:rFonts w:ascii="Times New Roman" w:hAnsi="Times New Roman"/>
          <w:sz w:val="20"/>
        </w:rPr>
        <w:t xml:space="preserve">Coltman, T., Devinney, T. M., Midgley, D. F., &amp; Venaik, S. (2008). Formative versus reflective measurement models: Two applications of formative measurement. </w:t>
      </w:r>
      <w:r>
        <w:rPr>
          <w:rFonts w:ascii="Times New Roman" w:hAnsi="Times New Roman"/>
          <w:i/>
          <w:sz w:val="20"/>
        </w:rPr>
        <w:t>Journal of Business Research, 61</w:t>
      </w:r>
      <w:r>
        <w:rPr>
          <w:rFonts w:ascii="Times New Roman" w:hAnsi="Times New Roman"/>
          <w:sz w:val="20"/>
        </w:rPr>
        <w:t>(12), 1250–1262. https://doi.org/10.1016/j.jbusres.2008.01.013</w:t>
      </w:r>
    </w:p>
    <w:p w:rsidR="00000000" w:rsidDel="00000000" w:rsidP="00000000" w:rsidRDefault="00000000" w:rsidRPr="00000000" w14:paraId="00000204">
      <w:pPr>
        <w:spacing w:after="60" w:line="360" w:lineRule="auto"/>
        <w:ind w:left="720" w:hanging="720"/>
        <w:jc w:val="left"/>
        <w:rPr/>
      </w:pPr>
      <w:r>
        <w:rPr>
          <w:rFonts w:ascii="Times New Roman" w:hAnsi="Times New Roman"/>
          <w:sz w:val="20"/>
        </w:rPr>
        <w:t xml:space="preserve">Contractor, F. J. (2007). Is international business good for companies? The evolutionary or multi-stage theory of internationalization vs. the transaction cost perspective. </w:t>
      </w:r>
      <w:r>
        <w:rPr>
          <w:rFonts w:ascii="Times New Roman" w:hAnsi="Times New Roman"/>
          <w:i/>
          <w:sz w:val="20"/>
        </w:rPr>
        <w:t>Management International Review, 47</w:t>
      </w:r>
      <w:r>
        <w:rPr>
          <w:rFonts w:ascii="Times New Roman" w:hAnsi="Times New Roman"/>
          <w:sz w:val="20"/>
        </w:rPr>
        <w:t>(3), 453–475. https://doi.org/10.1007/s11575-007-0024-2</w:t>
      </w:r>
    </w:p>
    <w:p w:rsidR="00000000" w:rsidDel="00000000" w:rsidP="00000000" w:rsidRDefault="00000000" w:rsidRPr="00000000" w14:paraId="00000205">
      <w:pPr>
        <w:spacing w:after="60" w:line="360" w:lineRule="auto"/>
        <w:ind w:left="720" w:hanging="720"/>
        <w:jc w:val="left"/>
        <w:rPr/>
      </w:pPr>
      <w:r>
        <w:rPr>
          <w:rFonts w:ascii="Times New Roman" w:hAnsi="Times New Roman"/>
          <w:sz w:val="20"/>
        </w:rPr>
        <w:t xml:space="preserve">Contractor, F. J., Kundu, S. K., &amp; Hsu, C.-C. (2003). A three-stage theory of international expansion: The link between multinationality and performance in the service sector. </w:t>
      </w:r>
      <w:r>
        <w:rPr>
          <w:rFonts w:ascii="Times New Roman" w:hAnsi="Times New Roman"/>
          <w:i/>
          <w:sz w:val="20"/>
        </w:rPr>
        <w:t>Journal of International Business Studies, 34</w:t>
      </w:r>
      <w:r>
        <w:rPr>
          <w:rFonts w:ascii="Times New Roman" w:hAnsi="Times New Roman"/>
          <w:sz w:val="20"/>
        </w:rPr>
        <w:t>(1), 5–18. https://doi.org/10.1057/palgrave.jibs.8400003</w:t>
      </w:r>
    </w:p>
    <w:p w:rsidR="00000000" w:rsidDel="00000000" w:rsidP="00000000" w:rsidRDefault="00000000" w:rsidRPr="00000000" w14:paraId="00000206">
      <w:pPr>
        <w:spacing w:after="60" w:line="360" w:lineRule="auto"/>
        <w:ind w:left="720" w:hanging="720"/>
        <w:jc w:val="left"/>
        <w:rPr/>
      </w:pPr>
      <w:r>
        <w:rPr>
          <w:rFonts w:ascii="Times New Roman" w:hAnsi="Times New Roman"/>
          <w:sz w:val="20"/>
        </w:rPr>
        <w:t xml:space="preserve">Haans, R. F. J., Pieters, C., &amp; He, Z.-L. (2016). Thinking about U: Theorizing and testing U- and inverted U-shaped relationships in strategy research. </w:t>
      </w:r>
      <w:r>
        <w:rPr>
          <w:rFonts w:ascii="Times New Roman" w:hAnsi="Times New Roman"/>
          <w:i/>
          <w:sz w:val="20"/>
        </w:rPr>
        <w:t>Strategic Management Journal, 37</w:t>
      </w:r>
      <w:r>
        <w:rPr>
          <w:rFonts w:ascii="Times New Roman" w:hAnsi="Times New Roman"/>
          <w:sz w:val="20"/>
        </w:rPr>
        <w:t>(7), 1177–1195. https://doi.org/10.1002/smj.2399</w:t>
      </w:r>
    </w:p>
    <w:p w:rsidR="00000000" w:rsidDel="00000000" w:rsidP="00000000" w:rsidRDefault="00000000" w:rsidRPr="00000000" w14:paraId="00000207">
      <w:pPr>
        <w:spacing w:after="60" w:line="360" w:lineRule="auto"/>
        <w:ind w:left="720" w:hanging="720"/>
        <w:jc w:val="left"/>
        <w:rPr/>
      </w:pPr>
      <w:r>
        <w:rPr>
          <w:rFonts w:ascii="Times New Roman" w:hAnsi="Times New Roman"/>
          <w:sz w:val="20"/>
        </w:rPr>
        <w:t xml:space="preserve">Hambrick, D. C., &amp; Mason, P. A. (1984). Upper echelons: The organization as a reflection of its top managers. </w:t>
      </w:r>
      <w:r>
        <w:rPr>
          <w:rFonts w:ascii="Times New Roman" w:hAnsi="Times New Roman"/>
          <w:i/>
          <w:sz w:val="20"/>
        </w:rPr>
        <w:t>Academy of Management Review, 9</w:t>
      </w:r>
      <w:r>
        <w:rPr>
          <w:rFonts w:ascii="Times New Roman" w:hAnsi="Times New Roman"/>
          <w:sz w:val="20"/>
        </w:rPr>
        <w:t>(2), 193–206. https://doi.org/10.5465/amr.1984.4277628</w:t>
      </w:r>
    </w:p>
    <w:p w:rsidR="00000000" w:rsidDel="00000000" w:rsidP="00000000" w:rsidRDefault="00000000" w:rsidRPr="00000000" w14:paraId="00000208">
      <w:pPr>
        <w:spacing w:after="60" w:line="360" w:lineRule="auto"/>
        <w:ind w:left="720" w:hanging="720"/>
        <w:jc w:val="left"/>
        <w:rPr/>
      </w:pPr>
      <w:r>
        <w:rPr>
          <w:rFonts w:ascii="Times New Roman" w:hAnsi="Times New Roman"/>
          <w:sz w:val="20"/>
        </w:rPr>
        <w:t xml:space="preserve">Hitt, M. A., Hoskisson, R. E., &amp; Kim, H. (1997). International diversification: Effects on innovation and firm performance in product-diversified firms. </w:t>
      </w:r>
      <w:r>
        <w:rPr>
          <w:rFonts w:ascii="Times New Roman" w:hAnsi="Times New Roman"/>
          <w:i/>
          <w:sz w:val="20"/>
        </w:rPr>
        <w:t>Academy of Management Journal, 40</w:t>
      </w:r>
      <w:r>
        <w:rPr>
          <w:rFonts w:ascii="Times New Roman" w:hAnsi="Times New Roman"/>
          <w:sz w:val="20"/>
        </w:rPr>
        <w:t>(4), 767–798. https://doi.org/10.5465/256948</w:t>
      </w:r>
    </w:p>
    <w:p w:rsidR="00000000" w:rsidDel="00000000" w:rsidP="00000000" w:rsidRDefault="00000000" w:rsidRPr="00000000" w14:paraId="00000209">
      <w:pPr>
        <w:spacing w:after="60" w:line="360" w:lineRule="auto"/>
        <w:ind w:left="720" w:hanging="720"/>
        <w:jc w:val="left"/>
        <w:rPr/>
      </w:pPr>
      <w:r>
        <w:rPr>
          <w:rFonts w:ascii="Times New Roman" w:hAnsi="Times New Roman"/>
          <w:sz w:val="20"/>
        </w:rPr>
        <w:t xml:space="preserve">Krammer, S. M. S., Strange, R., &amp; Lashitew, A. (2018). The export performance of emerging economy firms. </w:t>
      </w:r>
      <w:r>
        <w:rPr>
          <w:rFonts w:ascii="Times New Roman" w:hAnsi="Times New Roman"/>
          <w:i/>
          <w:sz w:val="20"/>
        </w:rPr>
        <w:t>International Business Review, 27</w:t>
      </w:r>
      <w:r>
        <w:rPr>
          <w:rFonts w:ascii="Times New Roman" w:hAnsi="Times New Roman"/>
          <w:sz w:val="20"/>
        </w:rPr>
        <w:t>(1), 218–230. https://doi.org/10.1016/j.ibusrev.2017.07.003</w:t>
      </w:r>
    </w:p>
    <w:p w:rsidR="00000000" w:rsidDel="00000000" w:rsidP="00000000" w:rsidRDefault="00000000" w:rsidRPr="00000000" w14:paraId="0000020A">
      <w:pPr>
        <w:spacing w:after="60" w:line="360" w:lineRule="auto"/>
        <w:ind w:left="720" w:hanging="720"/>
        <w:jc w:val="left"/>
        <w:rPr/>
      </w:pPr>
      <w:r>
        <w:rPr>
          <w:rFonts w:ascii="Times New Roman" w:hAnsi="Times New Roman"/>
          <w:sz w:val="20"/>
        </w:rPr>
        <w:t xml:space="preserve">Lakens, D., Scheel, A. M., &amp; Isager, P. M. (2018). Equivalence testing for psychological research: A tutorial. </w:t>
      </w:r>
      <w:r>
        <w:rPr>
          <w:rFonts w:ascii="Times New Roman" w:hAnsi="Times New Roman"/>
          <w:i/>
          <w:sz w:val="20"/>
        </w:rPr>
        <w:t>Advances in Methods and Practices in Psychological Science, 1</w:t>
      </w:r>
      <w:r>
        <w:rPr>
          <w:rFonts w:ascii="Times New Roman" w:hAnsi="Times New Roman"/>
          <w:sz w:val="20"/>
        </w:rPr>
        <w:t>(2), 259–269. https://doi.org/10.1177/2515245918770963</w:t>
      </w:r>
    </w:p>
    <w:p w:rsidR="00000000" w:rsidDel="00000000" w:rsidP="00000000" w:rsidRDefault="00000000" w:rsidRPr="00000000" w14:paraId="0000020B">
      <w:pPr>
        <w:spacing w:after="60" w:line="360" w:lineRule="auto"/>
        <w:ind w:left="720" w:hanging="720"/>
        <w:jc w:val="left"/>
        <w:rPr/>
      </w:pPr>
      <w:r>
        <w:rPr>
          <w:rFonts w:ascii="Times New Roman" w:hAnsi="Times New Roman"/>
          <w:sz w:val="20"/>
        </w:rPr>
        <w:t xml:space="preserve">Lall, S. (1992). Technological capabilities and industrialization. </w:t>
      </w:r>
      <w:r>
        <w:rPr>
          <w:rFonts w:ascii="Times New Roman" w:hAnsi="Times New Roman"/>
          <w:i/>
          <w:sz w:val="20"/>
        </w:rPr>
        <w:t>World Development, 20</w:t>
      </w:r>
      <w:r>
        <w:rPr>
          <w:rFonts w:ascii="Times New Roman" w:hAnsi="Times New Roman"/>
          <w:sz w:val="20"/>
        </w:rPr>
        <w:t>(2), 165–186. https://doi.org/10.1016/0305-750X(92)90097-F</w:t>
      </w:r>
    </w:p>
    <w:p w:rsidR="00000000" w:rsidDel="00000000" w:rsidP="00000000" w:rsidRDefault="00000000" w:rsidRPr="00000000" w14:paraId="0000020C">
      <w:pPr>
        <w:spacing w:after="60" w:line="360" w:lineRule="auto"/>
        <w:ind w:left="720" w:hanging="720"/>
        <w:jc w:val="left"/>
        <w:rPr/>
      </w:pPr>
      <w:r>
        <w:rPr>
          <w:rFonts w:ascii="Times New Roman" w:hAnsi="Times New Roman"/>
          <w:sz w:val="20"/>
        </w:rPr>
        <w:t xml:space="preserve">Lind, J. T., &amp; Mehlum, H. (2010). With or without U? The appropriate test for a U-shaped relationship. </w:t>
      </w:r>
      <w:r>
        <w:rPr>
          <w:rFonts w:ascii="Times New Roman" w:hAnsi="Times New Roman"/>
          <w:i/>
          <w:sz w:val="20"/>
        </w:rPr>
        <w:t>Oxford Bulletin of Economics and Statistics, 72</w:t>
      </w:r>
      <w:r>
        <w:rPr>
          <w:rFonts w:ascii="Times New Roman" w:hAnsi="Times New Roman"/>
          <w:sz w:val="20"/>
        </w:rPr>
        <w:t>(1), 109–118. https://doi.org/10.1111/j.1468-0084.2009.00569.x</w:t>
      </w:r>
    </w:p>
    <w:p w:rsidR="00000000" w:rsidDel="00000000" w:rsidP="00000000" w:rsidRDefault="00000000" w:rsidRPr="00000000" w14:paraId="0000020D">
      <w:pPr>
        <w:spacing w:after="60" w:line="360" w:lineRule="auto"/>
        <w:ind w:left="720" w:hanging="720"/>
        <w:jc w:val="left"/>
        <w:rPr/>
      </w:pPr>
      <w:r>
        <w:rPr>
          <w:rFonts w:ascii="Times New Roman" w:hAnsi="Times New Roman"/>
          <w:sz w:val="20"/>
        </w:rPr>
        <w:t xml:space="preserve">Lu, J. W., &amp; Beamish, P. W. (2004). International diversification and firm performance: The S-curve hypothesis. </w:t>
      </w:r>
      <w:r>
        <w:rPr>
          <w:rFonts w:ascii="Times New Roman" w:hAnsi="Times New Roman"/>
          <w:i/>
          <w:sz w:val="20"/>
        </w:rPr>
        <w:t>Academy of Management Journal, 47</w:t>
      </w:r>
      <w:r>
        <w:rPr>
          <w:rFonts w:ascii="Times New Roman" w:hAnsi="Times New Roman"/>
          <w:sz w:val="20"/>
        </w:rPr>
        <w:t>(4), 598–609. https://doi.org/10.5465/20159604</w:t>
      </w:r>
    </w:p>
    <w:p w:rsidR="00000000" w:rsidDel="00000000" w:rsidP="00000000" w:rsidRDefault="00000000" w:rsidRPr="00000000" w14:paraId="0000020E">
      <w:pPr>
        <w:spacing w:after="60" w:line="360" w:lineRule="auto"/>
        <w:ind w:left="720" w:hanging="720"/>
        <w:jc w:val="left"/>
        <w:rPr/>
      </w:pPr>
      <w:r>
        <w:rPr>
          <w:rFonts w:ascii="Times New Roman" w:hAnsi="Times New Roman"/>
          <w:sz w:val="20"/>
        </w:rPr>
        <w:t xml:space="preserve">MacKinnon, J. G., &amp; White, H. (1985). Some heteroskedasticity-consistent covariance matrix estimators with improved finite sample properties. </w:t>
      </w:r>
      <w:r>
        <w:rPr>
          <w:rFonts w:ascii="Times New Roman" w:hAnsi="Times New Roman"/>
          <w:i/>
          <w:sz w:val="20"/>
        </w:rPr>
        <w:t>Journal of Econometrics, 29</w:t>
      </w:r>
      <w:r>
        <w:rPr>
          <w:rFonts w:ascii="Times New Roman" w:hAnsi="Times New Roman"/>
          <w:sz w:val="20"/>
        </w:rPr>
        <w:t>(3), 305–325. https://doi.org/10.1016/0304-4076(85)90158-7</w:t>
      </w:r>
    </w:p>
    <w:p w:rsidR="00000000" w:rsidDel="00000000" w:rsidP="00000000" w:rsidRDefault="00000000" w:rsidRPr="00000000" w14:paraId="0000020F">
      <w:pPr>
        <w:spacing w:after="60" w:line="360" w:lineRule="auto"/>
        <w:ind w:left="720" w:hanging="720"/>
        <w:jc w:val="left"/>
        <w:rPr/>
      </w:pPr>
      <w:r>
        <w:rPr>
          <w:rFonts w:ascii="Times New Roman" w:hAnsi="Times New Roman"/>
          <w:sz w:val="20"/>
        </w:rPr>
        <w:t xml:space="preserve">Marano, V., Arregle, J.-L., Hitt, M. A., Spadafora, E., &amp; van Essen, M. (2016). Home country institutions and the internationalization-performance relationship: A meta-analytic review. </w:t>
      </w:r>
      <w:r>
        <w:rPr>
          <w:rFonts w:ascii="Times New Roman" w:hAnsi="Times New Roman"/>
          <w:i/>
          <w:sz w:val="20"/>
        </w:rPr>
        <w:t>Journal of Management, 42</w:t>
      </w:r>
      <w:r>
        <w:rPr>
          <w:rFonts w:ascii="Times New Roman" w:hAnsi="Times New Roman"/>
          <w:sz w:val="20"/>
        </w:rPr>
        <w:t>(5), 1075–1110. https://doi.org/10.1177/0149206315624963</w:t>
      </w:r>
    </w:p>
    <w:p w:rsidR="00000000" w:rsidDel="00000000" w:rsidP="00000000" w:rsidRDefault="00000000" w:rsidRPr="00000000" w14:paraId="00000210">
      <w:pPr>
        <w:spacing w:after="60" w:line="360" w:lineRule="auto"/>
        <w:ind w:left="720" w:hanging="720"/>
        <w:jc w:val="left"/>
        <w:rPr/>
      </w:pPr>
      <w:r>
        <w:rPr>
          <w:rFonts w:ascii="Times New Roman" w:hAnsi="Times New Roman"/>
          <w:sz w:val="20"/>
        </w:rPr>
        <w:t xml:space="preserve">Meyer, K. E., van Witteloostuijn, A., &amp; Beugelsdijk, S. (2017). What’s in a p? Reassessing best practices for conducting and reporting hypothesis-testing research. </w:t>
      </w:r>
      <w:r>
        <w:rPr>
          <w:rFonts w:ascii="Times New Roman" w:hAnsi="Times New Roman"/>
          <w:i/>
          <w:sz w:val="20"/>
        </w:rPr>
        <w:t>Journal of International Business Studies, 48</w:t>
      </w:r>
      <w:r>
        <w:rPr>
          <w:rFonts w:ascii="Times New Roman" w:hAnsi="Times New Roman"/>
          <w:sz w:val="20"/>
        </w:rPr>
        <w:t>(5), 535–551. https://doi.org/10.1057/s41267-017-0078-8</w:t>
      </w:r>
    </w:p>
    <w:p w:rsidR="00000000" w:rsidDel="00000000" w:rsidP="00000000" w:rsidRDefault="00000000" w:rsidRPr="00000000" w14:paraId="00000211">
      <w:pPr>
        <w:spacing w:after="60" w:line="360" w:lineRule="auto"/>
        <w:ind w:left="720" w:hanging="720"/>
        <w:jc w:val="left"/>
        <w:rPr/>
      </w:pPr>
      <w:r>
        <w:rPr>
          <w:rFonts w:ascii="Times New Roman" w:hAnsi="Times New Roman"/>
          <w:sz w:val="20"/>
        </w:rPr>
        <w:t xml:space="preserve">O’Brien, R. M. (2007). A caution regarding rules of thumb for variance inflation factors. </w:t>
      </w:r>
      <w:r>
        <w:rPr>
          <w:rFonts w:ascii="Times New Roman" w:hAnsi="Times New Roman"/>
          <w:i/>
          <w:sz w:val="20"/>
        </w:rPr>
        <w:t>Quality &amp; Quantity, 41</w:t>
      </w:r>
      <w:r>
        <w:rPr>
          <w:rFonts w:ascii="Times New Roman" w:hAnsi="Times New Roman"/>
          <w:sz w:val="20"/>
        </w:rPr>
        <w:t>(5), 673–690. https://doi.org/10.1007/s11135-006-9018-6</w:t>
      </w:r>
    </w:p>
    <w:p w:rsidR="00000000" w:rsidDel="00000000" w:rsidP="00000000" w:rsidRDefault="00000000" w:rsidRPr="00000000" w14:paraId="00000212">
      <w:pPr>
        <w:spacing w:after="60" w:line="360" w:lineRule="auto"/>
        <w:ind w:left="720" w:hanging="720"/>
        <w:jc w:val="left"/>
        <w:rPr/>
      </w:pPr>
      <w:r>
        <w:rPr>
          <w:rFonts w:ascii="Times New Roman" w:hAnsi="Times New Roman"/>
          <w:sz w:val="20"/>
        </w:rPr>
        <w:t xml:space="preserve">Peng, M. W. (2003). Institutional transitions and strategic choices. </w:t>
      </w:r>
      <w:r>
        <w:rPr>
          <w:rFonts w:ascii="Times New Roman" w:hAnsi="Times New Roman"/>
          <w:i/>
          <w:sz w:val="20"/>
        </w:rPr>
        <w:t>Academy of Management Review, 28</w:t>
      </w:r>
      <w:r>
        <w:rPr>
          <w:rFonts w:ascii="Times New Roman" w:hAnsi="Times New Roman"/>
          <w:sz w:val="20"/>
        </w:rPr>
        <w:t>(2), 275–296. https://doi.org/10.5465/amr.2003.9416341</w:t>
      </w:r>
    </w:p>
    <w:p w:rsidR="00000000" w:rsidDel="00000000" w:rsidP="00000000" w:rsidRDefault="00000000" w:rsidRPr="00000000" w14:paraId="00000213">
      <w:pPr>
        <w:spacing w:after="60" w:line="360" w:lineRule="auto"/>
        <w:ind w:left="720" w:hanging="720"/>
        <w:jc w:val="left"/>
        <w:rPr/>
      </w:pPr>
      <w:r>
        <w:rPr>
          <w:rFonts w:ascii="Times New Roman" w:hAnsi="Times New Roman"/>
          <w:sz w:val="20"/>
        </w:rPr>
        <w:t xml:space="preserve">Peng, M. W., Wang, D. Y. L., &amp; Jiang, Y. (2008). An institution-based view of international business strategy: A focus on emerging economies. </w:t>
      </w:r>
      <w:r>
        <w:rPr>
          <w:rFonts w:ascii="Times New Roman" w:hAnsi="Times New Roman"/>
          <w:i/>
          <w:sz w:val="20"/>
        </w:rPr>
        <w:t>Journal of International Business Studies, 39</w:t>
      </w:r>
      <w:r>
        <w:rPr>
          <w:rFonts w:ascii="Times New Roman" w:hAnsi="Times New Roman"/>
          <w:sz w:val="20"/>
        </w:rPr>
        <w:t>(5), 920–936. https://doi.org/10.1057/palgrave.jibs.8400377</w:t>
      </w:r>
    </w:p>
    <w:p w:rsidR="00000000" w:rsidDel="00000000" w:rsidP="00000000" w:rsidRDefault="00000000" w:rsidRPr="00000000" w14:paraId="00000214">
      <w:pPr>
        <w:spacing w:after="60" w:line="360" w:lineRule="auto"/>
        <w:ind w:left="720" w:hanging="720"/>
        <w:jc w:val="left"/>
        <w:rPr/>
      </w:pPr>
      <w:r>
        <w:rPr>
          <w:rFonts w:ascii="Times New Roman" w:hAnsi="Times New Roman"/>
          <w:sz w:val="20"/>
        </w:rPr>
        <w:t xml:space="preserve">Rugman, A. M., &amp; Verbeke, A. (2004). A perspective on regional and global strategies of multinational enterprises. </w:t>
      </w:r>
      <w:r>
        <w:rPr>
          <w:rFonts w:ascii="Times New Roman" w:hAnsi="Times New Roman"/>
          <w:i/>
          <w:sz w:val="20"/>
        </w:rPr>
        <w:t>Journal of International Business Studies, 35</w:t>
      </w:r>
      <w:r>
        <w:rPr>
          <w:rFonts w:ascii="Times New Roman" w:hAnsi="Times New Roman"/>
          <w:sz w:val="20"/>
        </w:rPr>
        <w:t>(1), 3–18. https://doi.org/10.1057/palgrave.jibs.8400073</w:t>
      </w:r>
    </w:p>
    <w:p w:rsidR="00000000" w:rsidDel="00000000" w:rsidP="00000000" w:rsidRDefault="00000000" w:rsidRPr="00000000" w14:paraId="00000215">
      <w:pPr>
        <w:spacing w:after="60" w:line="360" w:lineRule="auto"/>
        <w:ind w:left="720" w:hanging="720"/>
        <w:jc w:val="left"/>
        <w:rPr/>
      </w:pPr>
      <w:r>
        <w:rPr>
          <w:rFonts w:ascii="Times New Roman" w:hAnsi="Times New Roman"/>
          <w:sz w:val="20"/>
        </w:rPr>
        <w:t xml:space="preserve">Shaver, J. M. (2020). Causal identification through a cumulative body of research in the study of strategy and organizations. </w:t>
      </w:r>
      <w:r>
        <w:rPr>
          <w:rFonts w:ascii="Times New Roman" w:hAnsi="Times New Roman"/>
          <w:i/>
          <w:sz w:val="20"/>
        </w:rPr>
        <w:t>Journal of Management, 46</w:t>
      </w:r>
      <w:r>
        <w:rPr>
          <w:rFonts w:ascii="Times New Roman" w:hAnsi="Times New Roman"/>
          <w:sz w:val="20"/>
        </w:rPr>
        <w:t>(6), 1244–1256. https://doi.org/10.1177/0149206319846272</w:t>
      </w:r>
    </w:p>
    <w:p w:rsidR="00000000" w:rsidDel="00000000" w:rsidP="00000000" w:rsidRDefault="00000000" w:rsidRPr="00000000" w14:paraId="00000216">
      <w:pPr>
        <w:spacing w:after="60" w:line="360" w:lineRule="auto"/>
        <w:ind w:left="720" w:hanging="720"/>
        <w:jc w:val="left"/>
        <w:rPr/>
      </w:pPr>
      <w:r>
        <w:rPr>
          <w:rFonts w:ascii="Times New Roman" w:hAnsi="Times New Roman"/>
          <w:sz w:val="20"/>
        </w:rPr>
        <w:t xml:space="preserve">Stallkamp, M., &amp; Schotter, A. P. J. (2021). Platforms without borders? The international strategies of digital platform firms. </w:t>
      </w:r>
      <w:r>
        <w:rPr>
          <w:rFonts w:ascii="Times New Roman" w:hAnsi="Times New Roman"/>
          <w:i/>
          <w:sz w:val="20"/>
        </w:rPr>
        <w:t>Global Strategy Journal, 11</w:t>
      </w:r>
      <w:r>
        <w:rPr>
          <w:rFonts w:ascii="Times New Roman" w:hAnsi="Times New Roman"/>
          <w:sz w:val="20"/>
        </w:rPr>
        <w:t>(1), 58–80. https://doi.org/10.1002/gsj.1336</w:t>
      </w:r>
    </w:p>
    <w:p w:rsidR="00000000" w:rsidDel="00000000" w:rsidP="00000000" w:rsidRDefault="00000000" w:rsidRPr="00000000" w14:paraId="00000217">
      <w:pPr>
        <w:spacing w:after="60" w:line="360" w:lineRule="auto"/>
        <w:ind w:left="720" w:hanging="720"/>
        <w:jc w:val="left"/>
        <w:rPr/>
      </w:pPr>
      <w:r>
        <w:rPr>
          <w:rFonts w:ascii="Times New Roman" w:hAnsi="Times New Roman"/>
          <w:sz w:val="20"/>
        </w:rPr>
        <w:t xml:space="preserve">Verhoef, P. C., Broekhuizen, T., Bart, Y., Bhattacharya, A., Dong, J. Q., Fabian, N., &amp; Haenlein, M. (2021). Digital transformation: A multidisciplinary reflection and research agenda. </w:t>
      </w:r>
      <w:r>
        <w:rPr>
          <w:rFonts w:ascii="Times New Roman" w:hAnsi="Times New Roman"/>
          <w:i/>
          <w:sz w:val="20"/>
        </w:rPr>
        <w:t>Journal of Business Research, 122</w:t>
      </w:r>
      <w:r>
        <w:rPr>
          <w:rFonts w:ascii="Times New Roman" w:hAnsi="Times New Roman"/>
          <w:sz w:val="20"/>
        </w:rPr>
        <w:t>, 889–901. https://doi.org/10.1016/j.jbusres.2019.09.022</w:t>
      </w:r>
    </w:p>
    <w:p w:rsidR="00000000" w:rsidDel="00000000" w:rsidP="00000000" w:rsidRDefault="00000000" w:rsidRPr="00000000" w14:paraId="00000218">
      <w:pPr>
        <w:spacing w:after="60" w:line="360" w:lineRule="auto"/>
        <w:ind w:left="720" w:hanging="720"/>
        <w:jc w:val="left"/>
        <w:rPr/>
      </w:pPr>
      <w:r>
        <w:rPr>
          <w:rFonts w:ascii="Times New Roman" w:hAnsi="Times New Roman"/>
          <w:sz w:val="20"/>
        </w:rPr>
        <w:t xml:space="preserve">Wolfolds, S. E., &amp; Siegel, J. (2019). Misaccounting for endogeneity: The peril of relying on the Heckman two-step method without a valid instrument. </w:t>
      </w:r>
      <w:r>
        <w:rPr>
          <w:rFonts w:ascii="Times New Roman" w:hAnsi="Times New Roman"/>
          <w:i/>
          <w:sz w:val="20"/>
        </w:rPr>
        <w:t>Strategic Management Journal, 40</w:t>
      </w:r>
      <w:r>
        <w:rPr>
          <w:rFonts w:ascii="Times New Roman" w:hAnsi="Times New Roman"/>
          <w:sz w:val="20"/>
        </w:rPr>
        <w:t>(3), 432–462. https://doi.org/10.1002/smj.2995</w:t>
      </w:r>
    </w:p>
    <w:p w:rsidR="00000000" w:rsidDel="00000000" w:rsidP="00000000" w:rsidRDefault="00000000" w:rsidRPr="00000000" w14:paraId="00000219">
      <w:pPr>
        <w:spacing w:after="60" w:line="360" w:lineRule="auto"/>
        <w:ind w:left="720" w:hanging="720"/>
        <w:jc w:val="left"/>
        <w:rPr/>
      </w:pPr>
      <w:r>
        <w:rPr>
          <w:rFonts w:ascii="Times New Roman" w:hAnsi="Times New Roman"/>
          <w:sz w:val="20"/>
        </w:rPr>
        <w:t xml:space="preserve">World Bank. (2024). </w:t>
      </w:r>
      <w:r>
        <w:rPr>
          <w:rFonts w:ascii="Times New Roman" w:hAnsi="Times New Roman"/>
          <w:i/>
          <w:sz w:val="20"/>
        </w:rPr>
        <w:t>World Bank Enterprise Survey: Singapore 2023</w:t>
      </w:r>
      <w:r>
        <w:rPr>
          <w:rFonts w:ascii="Times New Roman" w:hAnsi="Times New Roman"/>
          <w:sz w:val="20"/>
        </w:rPr>
        <w:t>. https://www.enterprisesurveys.org</w:t>
      </w:r>
    </w:p>
    <w:p w:rsidR="00000000" w:rsidDel="00000000" w:rsidP="00000000" w:rsidRDefault="00000000" w:rsidRPr="00000000" w14:paraId="0000021A">
      <w:pPr>
        <w:rPr/>
      </w:pPr>
      <w:r>
        <w:br w:type="page"/>
      </w:r>
      <w:r>
        <w:rPr>
          <w:rtl w:val="0"/>
        </w:rPr>
      </w:r>
    </w:p>
    <w:p w:rsidR="00000000" w:rsidDel="00000000" w:rsidP="00000000" w:rsidRDefault="00000000" w:rsidRPr="00000000" w14:paraId="0000021B">
      <w:pPr>
        <w:jc w:val="center"/>
        <w:rPr/>
      </w:pPr>
      <w:r>
        <w:rPr/>
        <w:drawing>
          <wp:inline distB="0" distT="0" distL="114300" distR="114300">
            <wp:extent cx="5029200" cy="33518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3351857"/>
                    </a:xfrm>
                    <a:prstGeom prst="rect"/>
                    <a:ln/>
                  </pic:spPr>
                </pic:pic>
              </a:graphicData>
            </a:graphic>
          </wp:inline>
        </w:drawing>
      </w:r>
      <w:r>
        <w:rPr>
          <w:rtl w:val="0"/>
        </w:rPr>
      </w:r>
    </w:p>
    <w:p w:rsidR="00000000" w:rsidDel="00000000" w:rsidP="00000000" w:rsidRDefault="00000000" w:rsidRPr="00000000" w14:paraId="0000021C">
      <w:pPr>
        <w:jc w:val="center"/>
        <w:rPr/>
      </w:pPr>
      <w:r>
        <w:rPr>
          <w:rFonts w:ascii="Cardo" w:cs="Cardo" w:eastAsia="Cardo" w:hAnsi="Cardo"/>
          <w:i w:val="1"/>
          <w:iCs w:val="1"/>
          <w:sz w:val="18"/>
          <w:szCs w:val="18"/>
          <w:rtl w:val="0"/>
        </w:rPr>
        <w:t>Figure 1. Conceptual model. Internationalization (FSTS, FSTS²) is the independent variable; firm performance, measured as ln(labour productivity), is the dependent variable. Technological capability (TCI) and digital adoption (DAI) are moderators acting on the internationalization–performance path (H2 and H4). The diagram also lists the direct effects of TCI and DAI on the dependent variable (H1 and H3), which are estimated in the empirical model but not drawn as crossing arrows for visual clarity. Firm size, age, foreign ownership, and broad-sector fixed effects enter as controls. Solid arrows denote direct associations; dashed arrows denote moderation associations. The setting is Singapore as an within-context, analytically informative case of a digitally advanced economy (WBES 2023, N = 623 / 617).</w:t>
      </w:r>
      <w:r>
        <w:rPr>
          <w:rtl w:val="0"/>
        </w:rPr>
      </w:r>
    </w:p>
    <w:p w:rsidR="00000000" w:rsidDel="00000000" w:rsidP="00000000" w:rsidRDefault="00000000" w:rsidRPr="00000000" w14:paraId="0000021D">
      <w:pPr>
        <w:rPr/>
      </w:pPr>
      <w:r>
        <w:br w:type="page"/>
      </w:r>
      <w:r>
        <w:rPr>
          <w:rtl w:val="0"/>
        </w:rPr>
      </w:r>
    </w:p>
    <w:p w:rsidR="00000000" w:rsidDel="00000000" w:rsidP="00000000" w:rsidRDefault="00000000" w:rsidRPr="00000000" w14:paraId="0000021E">
      <w:pPr>
        <w:jc w:val="center"/>
        <w:rPr/>
      </w:pPr>
      <w:r>
        <w:rPr/>
        <w:drawing>
          <wp:inline distB="0" distT="0" distL="114300" distR="114300">
            <wp:extent cx="5029200" cy="35447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3544736"/>
                    </a:xfrm>
                    <a:prstGeom prst="rect"/>
                    <a:ln/>
                  </pic:spPr>
                </pic:pic>
              </a:graphicData>
            </a:graphic>
          </wp:inline>
        </w:drawing>
      </w:r>
      <w:r>
        <w:rPr>
          <w:rtl w:val="0"/>
        </w:rPr>
      </w:r>
    </w:p>
    <w:p w:rsidR="00000000" w:rsidDel="00000000" w:rsidP="00000000" w:rsidRDefault="00000000" w:rsidRPr="00000000" w14:paraId="0000021F">
      <w:pPr>
        <w:jc w:val="center"/>
        <w:rPr/>
      </w:pPr>
      <w:r>
        <w:rPr>
          <w:rFonts w:ascii="Times New Roman" w:cs="Times New Roman" w:eastAsia="Times New Roman" w:hAnsi="Times New Roman"/>
          <w:i w:val="1"/>
          <w:iCs w:val="1"/>
          <w:sz w:val="18"/>
          <w:szCs w:val="18"/>
          <w:rtl w:val="0"/>
        </w:rPr>
        <w:t>Figure 2. 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rPr>
          <w:rtl w:val="0"/>
        </w:rPr>
      </w:r>
    </w:p>
    <w:p w:rsidR="00000000" w:rsidDel="00000000" w:rsidP="00000000" w:rsidRDefault="00000000" w:rsidRPr="00000000" w14:paraId="00000220">
      <w:pPr>
        <w:rPr/>
      </w:pPr>
      <w:r>
        <w:br w:type="page"/>
      </w:r>
      <w:r>
        <w:rPr>
          <w:rtl w:val="0"/>
        </w:rPr>
      </w:r>
    </w:p>
    <w:p w:rsidR="00000000" w:rsidDel="00000000" w:rsidP="00000000" w:rsidRDefault="00000000" w:rsidRPr="00000000" w14:paraId="00000221">
      <w:pPr>
        <w:jc w:val="center"/>
        <w:rPr/>
      </w:pPr>
      <w:r>
        <w:rPr/>
        <w:drawing>
          <wp:inline distB="0" distT="0" distL="114300" distR="114300">
            <wp:extent cx="5029200" cy="354644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546449"/>
                    </a:xfrm>
                    <a:prstGeom prst="rect"/>
                    <a:ln/>
                  </pic:spPr>
                </pic:pic>
              </a:graphicData>
            </a:graphic>
          </wp:inline>
        </w:drawing>
      </w:r>
      <w:r>
        <w:rPr>
          <w:rtl w:val="0"/>
        </w:rPr>
      </w:r>
    </w:p>
    <w:p w:rsidR="00000000" w:rsidDel="00000000" w:rsidP="00000000" w:rsidRDefault="00000000" w:rsidRPr="00000000" w14:paraId="00000222">
      <w:pPr>
        <w:jc w:val="center"/>
        <w:rPr/>
      </w:pPr>
      <w:r>
        <w:rPr>
          <w:rFonts w:ascii="Gungsuh" w:cs="Gungsuh" w:eastAsia="Gungsuh" w:hAnsi="Gungsuh"/>
          <w:i w:val="1"/>
          <w:iCs w:val="1"/>
          <w:sz w:val="18"/>
          <w:szCs w:val="18"/>
          <w:rtl w:val="0"/>
        </w:rPr>
        <w:t>Figure 3. Predicted internationalization–performance curve. Predicted relationship between export intensity and labour productivity with 95% confidence bands from the canonical quadratic specification (M2). The implied turning point occurs near FSTS = 82% on the original scale,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