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宋体"/>
          <w:b/>
          <w:color w:val="0B2545"/>
          <w:sz w:val="44"/>
        </w:rPr>
        <w:t>毕业论文过程指导记录成果表</w:t>
      </w:r>
    </w:p>
    <w:p>
      <w:pPr>
        <w:spacing w:after="280"/>
        <w:jc w:val="center"/>
      </w:pPr>
      <w:r>
        <w:rPr>
          <w:rFonts w:ascii="Calibri" w:hAnsi="Calibri" w:eastAsia="宋体"/>
          <w:b w:val="0"/>
          <w:color w:val="555555"/>
          <w:sz w:val="24"/>
        </w:rPr>
        <w:t>面向工具调用智能体的安全防火墙 Web 应用系统设计与实现</w:t>
      </w:r>
    </w:p>
    <w:tbl>
      <w:tblGrid>
        <w:gridCol w:w="4680"/>
        <w:gridCol w:w="4680"/>
      </w:tblGrid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Ind w:w="120" w:type="dxa"/>
      </w:tblP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学生姓名：霍玮放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指导教师：杨波  教授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学院：工学院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专业班级：电气工程及其自动化（辅修） / 电气24-3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学号：230206108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统计期间：2026年1月1日至2026年5月14日</w:t>
            </w:r>
          </w:p>
        </w:tc>
      </w:tr>
    </w:tbl>
    <w:p/>
    <w:p>
      <w:pPr>
        <w:pStyle w:val="Heading2"/>
      </w:pPr>
      <w:r>
        <w:t>统计口径</w:t>
      </w:r>
    </w:p>
    <w:p>
      <w:pPr>
        <w:spacing w:after="80" w:line="269" w:lineRule="auto"/>
      </w:pPr>
      <w:r>
        <w:rPr>
          <w:rFonts w:ascii="Calibri" w:hAnsi="Calibri" w:eastAsia="宋体"/>
          <w:b w:val="0"/>
          <w:color w:val="000000"/>
          <w:sz w:val="21"/>
        </w:rPr>
        <w:t>节假日依据：国务院办公厅《国务院办公厅关于2026年部分节假日安排的通知》（国办发明电〔2025〕7号）。</w:t>
      </w:r>
    </w:p>
    <w:p>
      <w:pPr>
        <w:spacing w:after="80" w:line="269" w:lineRule="auto"/>
      </w:pPr>
      <w:r>
        <w:rPr>
          <w:rFonts w:ascii="Calibri" w:hAnsi="Calibri" w:eastAsia="宋体"/>
          <w:b w:val="0"/>
          <w:color w:val="000000"/>
          <w:sz w:val="21"/>
        </w:rPr>
        <w:t>剔除法定假期中的周六：2026年01月03日（元旦假期）、2026年02月21日（春节假期）、2026年04月04日（清明节）、2026年05月02日（劳动节）。2026年02月14日、02月28日、05月09日虽为调休上班日，但均为周六且不属于放假日，因此按“每周六除节假日”口径计入。</w:t>
      </w:r>
    </w:p>
    <w:p>
      <w:pPr>
        <w:pStyle w:val="Heading2"/>
      </w:pPr>
      <w:r>
        <w:t>过程指导记录</w:t>
      </w:r>
    </w:p>
    <w:tbl>
      <w:tblGrid>
        <w:gridCol w:w="660"/>
        <w:gridCol w:w="1500"/>
        <w:gridCol w:w="3900"/>
        <w:gridCol w:w="3300"/>
      </w:tblGrid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jc w:val="left"/>
        <w:tblInd w:w="120" w:type="dxa"/>
      </w:tblPr>
      <w:tr>
        <w:trPr>
          <w:tblHeader w:val="true"/>
        </w:trP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/>
                <w:color w:val="000000"/>
                <w:sz w:val="19"/>
              </w:rPr>
              <w:t>指导日期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/>
                <w:color w:val="000000"/>
                <w:sz w:val="19"/>
              </w:rPr>
              <w:t>指导内容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/>
                <w:color w:val="000000"/>
                <w:sz w:val="19"/>
              </w:rPr>
              <w:t>论文进展情况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2026年01月10日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明确毕业论文选题和研究边界，确认课题聚焦 OpenClaw 工具调用智能体的安全防火墙；梳理系统需要解决的输入扫描、工具门控、人工审批和审计追踪问题。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完成论文题目初步确定，形成 Agent-Firewall 的核心定位说明；仓库基础结构和 README 已具备，开始整理开题与绪论材料。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2026年01月17日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指导国内外研究现状写作，要求区分提示词注入检测、Agent 运行时安全评估和工程防护框架三类相关工作，并避免把安全能力写成单一算法。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完成绪论中研究背景、研究现状和研究目标草稿；初步形成工具滥用、越权调用、间接注入和敏感信息泄露等风险分类。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2026年01月24日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讨论需求分析与威胁模型，明确系统资产、攻击者能力、信任边界和防护需求；要求论文中把 Telegram 入口与核心 Agent-Firewall 边界分开表述。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完成第2章框架，整理本机部署约束、OpenClaw 选型依据、功能需求和非功能需求；资产与攻击路径表已初步完成。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2026年01月31日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审阅系统总体架构方案，确定 Proxy Service、Agent Runtime、Frontend 三层结构；要求用图示说明消息入口、安全壳、工具执行和 Trace/Audit 的关系。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完成总体架构图初稿和模块划分说明；明确 Proxy Service 负责扫描、审批和控制平面，Agent Runtime 负责运行图和工具门控。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2026年02月07日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推进后端接口和运行图实现，重点检查 scan-only 接口、请求审计、策略配置和 runtime graph 的边界；要求代码实现与论文方法章节保持一致。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FastAPI 后端和 Agent Runtime 基础链路已跑通；开始补充 `/v1/scan`、请求审计、运行图节点和配置读取相关测试。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2026年02月14日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指导 pre-tool gate 设计，要求围绕 RBAC、工具参数 Schema、敏感能力确认和越权调用阻断展开；同时明确 protected tool abstraction 的论文表述。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完成前置工具门控核心逻辑和单元测试；论文方法章节开始写入 role、intent、tool plan、policy decision 等关键字段。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2026年02月28日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补充 post-tool gate 与 Trace 证据链设计，强调工具返回内容也属于不可信输入，需处理 PII、密钥、连接串、间接注入和超长输出。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完成输出清洗、截断和 Trace-run 记录字段梳理；形成工具执行前、执行中、执行后均可审计的证据链描述。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2026年03月07日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检查 OpenClaw 工具桥接方案，要求论文说明 direct 对照入口不属于受保护链路，受保护 `/agent/chat` 必须经过 runtime spec、pre-tool gate 和 post-tool gate。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OpenClaw skill provider 桥接和 Skills &amp; Hooks 发现流程基本完成；保留 MCP provider slot 作为可扩展边界，避免夸大为已充分验证的真实链路。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2026年03月14日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指导前端控制台材料整理，要求 Attack Playground、Approvals/Audit、Bot Agents、Skills &amp; Hooks、Trace/Audit 和 Runtime Settings 页面服务于论文证据链。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完成前端主要页面说明和截图材料整理；论文第3章补充控制台对攻击演练、审批闭环和运行时诊断的支撑作用。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2026年03月21日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讨论实验案例库与评价口径，要求主实验、独立 YAML 场景资产和公开基准映射场景分开统计；明确 baseline、策略配置和预期决策标签。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整理 358 个 JSON 主实验场景和 147 个 YAML 场景资产；确定未保护直连 LLM、fast rules-only 和 balanced 策略三组对照口径。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2026年03月28日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审阅实验结果与指标表述，要求只写可复现数据，不把 direct LLM 拒答误判为系统防护；重点核对阻断、修改、放行和工具链回放结果。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完成主实验数据统计：fast 策略 269/358，balanced 策略 274/358；Agent 核心门控测试 125 项通过，离线工具链回放 11/11 通过。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2026年04月11日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指导公开基准映射评测写法，要求说明 AgentDojo、ToolEmu、Agent Security Bench 等只是启发来源，映射场景需转化为本项目可执行输入。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新增 40 条公开基准启发的映射评测场景，并在受保护 `/agent/chat` 链路执行；初步结果为 36/40 通过，15 条输入层阻断。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2026年04月18日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集中修改第5章实验设计与结果分析，要求补充失败样本讨论、xfail 边界和风险解释，避免只展示通过率而缺少问题归因。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完成实验环境、LLM 参数、数据案例库、baseline 和结果表格的统一整理；补充 balanced 策略剩余误放样本和输出回显风险分析。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2026年04月25日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审阅第3章和第4章正文，要求系统设计、方法流程和代码文件位置互相对应；图表标题、表格编号、接口名称和路径写法需统一。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完成系统总体设计、scan-only 流水线、Agent Runtime 运行图、pre-tool gate、post-tool gate、intervention 和 Trace 审计章节整合。</w:t>
            </w:r>
          </w:p>
        </w:tc>
      </w:tr>
      <w:t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2026年05月09日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进行定稿前指导，要求摘要、结论和实验结论保持一致；安排最终本机 OpenClaw 无破坏复测，并把复测证据谨慎写入第5章和摘要。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论文主体已基本完成，进入格式核查、摘要压缩、参考资料核对和复测材料补充阶段；准备补充 `/agent/chat` 受保护工具调用 Trace 证据。</w:t>
            </w:r>
          </w:p>
        </w:tc>
      </w:tr>
    </w:tbl>
    <w:p>
      <w:pPr>
        <w:spacing w:before="200" w:after="0"/>
      </w:pPr>
      <w:r>
        <w:rPr>
          <w:rFonts w:ascii="Calibri" w:hAnsi="Calibri" w:eastAsia="宋体"/>
          <w:b w:val="0"/>
          <w:color w:val="555555"/>
          <w:sz w:val="20"/>
        </w:rPr>
        <w:t>说明：本表按论文推进过程整理，内容可用于毕业论文过程指导记录、阶段性成果归档和答辩材料备查。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/>
        <w:b w:val="0"/>
        <w:color w:val="555555"/>
        <w:sz w:val="18"/>
      </w:rPr>
      <w:t>毕业论文过程指导记录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毕业论文过程指导记录成果表</dc:title>
  <dc:subject>面向工具调用智能体的安全防火墙 Web 应用系统设计与实现</dc:subject>
  <dc:creator>霍玮放</dc:creator>
  <cp:keywords/>
  <dc:description>Generated guidance record table for thesis process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