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6"/>
        </w:rPr>
        <w:t>国内外研究现状修改稿</w:t>
      </w:r>
    </w:p>
    <w:p/>
    <w:tbl>
      <w:tblPr>
        <w:tblW w:type="auto" w:w="0"/>
        <w:jc w:val="center"/>
        <w:tblLayout w:type="autofit"/>
        <w:tblLook w:firstColumn="1" w:firstRow="1" w:lastColumn="0" w:lastRow="0" w:noHBand="0" w:noVBand="1" w:val="04A0"/>
      </w:tblPr>
      <w:tblGrid>
        <w:gridCol w:w="9360"/>
      </w:tblGrid>
      <w:tr>
        <w:tc>
          <w:tcPr>
            <w:tcW w:type="dxa" w:w="9360"/>
            <w:shd w:fill="F2F4F7"/>
            <w:vAlign w:val="center"/>
          </w:tcPr>
          <w:p>
            <w:pPr>
              <w:spacing w:after="0" w:line="276" w:lineRule="auto"/>
            </w:pPr>
            <w:r/>
            <w:r>
              <w:rPr>
                <w:rFonts w:ascii="Times New Roman" w:hAnsi="Times New Roman" w:eastAsia="宋体"/>
                <w:b w:val="0"/>
                <w:sz w:val="22"/>
              </w:rPr>
              <w:t>用途：本文件给出第 1.2 节“国内外研究现状”的替换稿，并给出参考文献部分的新增条目。为减少正文大改，建议保留原有 [1]—[20] 编号，在参考文献末尾新增中文文献 [21]—[25]。</w:t>
            </w:r>
          </w:p>
        </w:tc>
      </w:tr>
    </w:tbl>
    <w:p/>
    <w:p>
      <w:pPr>
        <w:pStyle w:val="Heading1"/>
      </w:pPr>
      <w:r>
        <w:t>一、第 1.2 节替换稿</w:t>
      </w:r>
    </w:p>
    <w:p>
      <w:pPr>
        <w:spacing w:line="300" w:lineRule="auto" w:after="120"/>
        <w:ind w:firstLine="420"/>
      </w:pPr>
      <w:r>
        <w:rPr>
          <w:rFonts w:ascii="Times New Roman" w:hAnsi="Times New Roman" w:eastAsia="宋体"/>
          <w:sz w:val="24"/>
        </w:rPr>
        <w:t>围绕工具调用智能体的安全研究主要集中在协议与工具生态安全、Agent 运行时安全评测、工程防护框架三个方向。国内研究主要从大语言模型安全风险、隐私泄露、提示词注入、对抗攻击与防御、风险评估等角度展开；国外研究则进一步围绕工具调用 Agent、间接提示词注入、LM-emulated sandbox、动态 Agent 攻防环境和标准化 benchmark 形成了较完整的评测体系。</w:t>
      </w:r>
    </w:p>
    <w:p>
      <w:pPr>
        <w:spacing w:line="300" w:lineRule="auto" w:after="120"/>
        <w:ind w:firstLine="420"/>
      </w:pPr>
      <w:r>
        <w:rPr>
          <w:rFonts w:ascii="Times New Roman" w:hAnsi="Times New Roman" w:eastAsia="宋体"/>
          <w:sz w:val="24"/>
        </w:rPr>
        <w:t>第一类研究关注协议与工具生态安全。MCP 规范将模型、工具和数据源之间的连接方式标准化，使外部能力可以通过统一协议暴露给智能体，但这也使工具描述、能力声明、授权 token、上下文采样和多 Server 编排成为新的安全边界[1][2]。MCP 授权规范强调 access token 必须绑定到目标资源并验证 audience，安全实践文档也明确反对 token passthrough，因为错误的 token 转发会破坏审计、授权和下游安全控制[2]。OpenClaw 的 gateway、Telegram channel、MCP 命令和 mcporter skill 则说明，本机智能体运行时已经具备连接外部入口和工具生态的现实路径[9][10][15][16]。因此，工具调用智能体的安全问题不能只停留在“模型是否生成危险文本”，还需要讨论工具来源、工具权限、工具参数和工具输出能否被独立验证。</w:t>
      </w:r>
    </w:p>
    <w:p>
      <w:pPr>
        <w:spacing w:line="300" w:lineRule="auto" w:after="120"/>
        <w:ind w:firstLine="420"/>
      </w:pPr>
      <w:r>
        <w:rPr>
          <w:rFonts w:ascii="Times New Roman" w:hAnsi="Times New Roman" w:eastAsia="宋体"/>
          <w:sz w:val="24"/>
        </w:rPr>
        <w:t>第二类研究关注大语言模型与 Agent 的安全威胁分类。国内已有综述从大语言模型完整生命周期出发，梳理了预训练、微调、部署阶段中的安全威胁与隐私泄露风险[21]，并进一步对提示注入、间接提示注入、越狱攻击和后门攻击等对抗性攻击模式进行了归纳[22]。黄河燕等从模型自身安全性和生成内容安全性两个方面总结了大语言模型面临的多类安全风险，并指出风险评估、归因和缓解机制需要贯穿模型设计与应用全过程[23]。贾澄钰等则从自然语言处理和安全两个视角总结了大语言模型的安全威胁与防御方法，说明提示注入、隐私泄露、越狱、后门和对抗攻击已经成为国内研究的重要议题[24]。这些国内研究为本文建立输入扫描、输出清洗、敏感信息识别和审计复核机制提供了理论依据。</w:t>
      </w:r>
    </w:p>
    <w:p>
      <w:pPr>
        <w:spacing w:line="300" w:lineRule="auto" w:after="120"/>
        <w:ind w:firstLine="420"/>
      </w:pPr>
      <w:r>
        <w:rPr>
          <w:rFonts w:ascii="Times New Roman" w:hAnsi="Times New Roman" w:eastAsia="宋体"/>
          <w:sz w:val="24"/>
        </w:rPr>
        <w:t>第三类研究关注 Agent 运行时安全评测。OWASP LLM Top 10 将 prompt injection、insecure output handling、sensitive information disclosure、insecure plugin design 和 excessive agency 列为 LLM 应用的重要风险[3]，这些风险在具备工具调用能力的 Agent 中会进一步放大。AgentDojo 构建了包含 97 个真实任务和 629 个安全测试的动态评测环境，重点研究外部工具返回的不可信数据如何通过间接提示词注入改变 Agent 行为[17]。ToolEmu 使用 LM-emulated sandbox 模拟高风险工具执行，在 36 个高风险工具和 144 个测试用例上分析工具调用带来的隐私泄露、财务损失和长尾风险[18]。Agent Security Bench 则从 direct prompt injection、indirect prompt injection、memory poisoning、tool usage 等阶段形式化 Agent 攻击与防御，并覆盖多场景、多工具和多类防御方法[19]。这些工作说明，Agent 安全评测需要覆盖输入、模型规划、工具调用、工具输出、记忆和最终回复的完整生命周期，不能只使用单轮文本分类指标。</w:t>
      </w:r>
    </w:p>
    <w:p>
      <w:pPr>
        <w:spacing w:line="300" w:lineRule="auto" w:after="120"/>
        <w:ind w:firstLine="420"/>
      </w:pPr>
      <w:r>
        <w:rPr>
          <w:rFonts w:ascii="Times New Roman" w:hAnsi="Times New Roman" w:eastAsia="宋体"/>
          <w:sz w:val="24"/>
        </w:rPr>
        <w:t>第四类研究关注工程防护框架。现有工程方案通常组合关键词规则、提示词注入检测、敏感信息识别、RBAC、工具调用确认、输出清洗、请求审计和策略阈值管理。LLM Guard 可用于提示词注入与敏感内容检测，Presidio 侧重 PII 识别与脱敏，NeMo Guardrails 则提供对话安全规则和运行时约束能力[6][7][8]。国内关于大语言模型安全现状的研究也指出，提示注入、幻觉、隐私安全和提示泄露是当前大模型应用中的突出问题，提升安全性需要同时考虑隐私保护、可解释性和鲁棒性[25]。但是，单独依赖某一种技术存在局限：规则方法速度快但难以覆盖语义伪装，LLM-as-judge 表达能力强但成本和复现性较差，前端提示和模型系统提示也不能强制约束后端真实工具副作用。针对这些不足，本文采用“确定性安全决策优先，必要时接入本地扫描器”的工程路线，把输入扫描、角色权限、参数 Schema、人工审批、工具输出清洗和 Trace 证据链组合为可运行的 Agent-Firewall 系统。</w:t>
      </w:r>
    </w:p>
    <w:p>
      <w:pPr>
        <w:spacing w:line="300" w:lineRule="auto" w:after="120"/>
        <w:ind w:firstLine="420"/>
      </w:pPr>
      <w:r>
        <w:rPr>
          <w:rFonts w:ascii="Times New Roman" w:hAnsi="Times New Roman" w:eastAsia="宋体"/>
          <w:sz w:val="24"/>
        </w:rPr>
        <w:t>综上，已有研究已经从协议规范、国内大模型安全综述、公开 Agent 评测和工程防护组件等层面揭示了工具调用智能体的安全问题，但面向 OpenClaw 本机 skill 调用链路的可执行安全壳、人工审批和 Trace 证据闭环仍需要结合具体系统实现进行验证。本文的工作定位不是提出新的提示词注入检测算法，而是把已有风险认识落实为模型调用前、工具执行前、工具执行后和审计复核四个控制点，并通过项目回归场景、公开基准映射场景、工具链离线回放和本机 OpenClaw/Telegram 复测验证该安全边界。</w:t>
      </w:r>
    </w:p>
    <w:p>
      <w:pPr>
        <w:pStyle w:val="Heading1"/>
      </w:pPr>
      <w:r>
        <w:t>二、参考文献部分修改建议</w:t>
      </w:r>
    </w:p>
    <w:p>
      <w:pPr>
        <w:spacing w:line="300" w:lineRule="auto" w:after="120"/>
        <w:ind w:firstLine="420"/>
      </w:pPr>
      <w:r>
        <w:rPr>
          <w:rFonts w:ascii="Times New Roman" w:hAnsi="Times New Roman" w:eastAsia="宋体"/>
          <w:sz w:val="24"/>
        </w:rPr>
        <w:t>建议保留论文当前 [1]—[20] 的编号，在参考文献末尾增加以下中文文献。正文中涉及国内研究的句子对应引用 [21]—[25]。</w:t>
      </w:r>
    </w:p>
    <w:p>
      <w:pPr>
        <w:spacing w:line="276" w:lineRule="auto" w:after="60"/>
        <w:ind w:hanging="420" w:left="420"/>
      </w:pPr>
      <w:r>
        <w:rPr>
          <w:rFonts w:ascii="Times New Roman" w:hAnsi="Times New Roman" w:eastAsia="宋体"/>
          <w:sz w:val="21"/>
        </w:rPr>
        <w:t>[21] 姜毅, 杨勇, 印佳丽, 刘小垒, 李吉亮, 王伟, 田有亮, 巫英才, 纪守领. 大语言模型安全与隐私风险综述[J/OL]. 计算机研究与发展. DOI: 10.7544/issn1000-1239.202440265.</w:t>
      </w:r>
    </w:p>
    <w:p>
      <w:pPr>
        <w:spacing w:line="276" w:lineRule="auto" w:after="60"/>
        <w:ind w:hanging="420" w:left="420"/>
      </w:pPr>
      <w:r>
        <w:rPr>
          <w:rFonts w:ascii="Times New Roman" w:hAnsi="Times New Roman" w:eastAsia="宋体"/>
          <w:sz w:val="21"/>
        </w:rPr>
        <w:t>[22] 台建玮, 杨双宁, 王佳佳, 李亚凯, 刘奇旭, 贾晓启. 大语言模型对抗性攻击与防御综述[J/OL]. 计算机研究与发展. DOI: 10.7544/issn1000-1239.202440630.</w:t>
      </w:r>
    </w:p>
    <w:p>
      <w:pPr>
        <w:spacing w:line="276" w:lineRule="auto" w:after="60"/>
        <w:ind w:hanging="420" w:left="420"/>
      </w:pPr>
      <w:r>
        <w:rPr>
          <w:rFonts w:ascii="Times New Roman" w:hAnsi="Times New Roman" w:eastAsia="宋体"/>
          <w:sz w:val="21"/>
        </w:rPr>
        <w:t>[23] 黄河燕, 李思霖, 兰天伟, 邱昱力, 柳泽明, 姚嘉树, 曾理, 单赢宇, 施晓明, 郭宇航. 大语言模型安全性：分类、评估、归因、缓解、展望[J]. 智能系统学报, 2025, 20(1): 2-32. DOI: 10.11992/tis.202401006.</w:t>
      </w:r>
    </w:p>
    <w:p>
      <w:pPr>
        <w:spacing w:line="276" w:lineRule="auto" w:after="60"/>
        <w:ind w:hanging="420" w:left="420"/>
      </w:pPr>
      <w:r>
        <w:rPr>
          <w:rFonts w:ascii="Times New Roman" w:hAnsi="Times New Roman" w:eastAsia="宋体"/>
          <w:sz w:val="21"/>
        </w:rPr>
        <w:t>[24] 贾澄钰, 陈晋音, 许淦, 张奥, 张鹤, 金海波, 陈若曦, 郑海斌. 大语言模型的安全威胁与防御综述[J]. 信息安全学报, 已采用.</w:t>
      </w:r>
    </w:p>
    <w:p>
      <w:pPr>
        <w:spacing w:line="276" w:lineRule="auto" w:after="60"/>
        <w:ind w:hanging="420" w:left="420"/>
      </w:pPr>
      <w:r>
        <w:rPr>
          <w:rFonts w:ascii="Times New Roman" w:hAnsi="Times New Roman" w:eastAsia="宋体"/>
          <w:sz w:val="21"/>
        </w:rPr>
        <w:t>[25] 赵月, 何锦雯, 朱申辰, 李聪仪, 张英杰, 陈恺. 大语言模型安全现状与挑战[J]. 计算机科学, 2024, 51(1): 68-71.</w:t>
      </w:r>
    </w:p>
    <w:p>
      <w:pPr>
        <w:pStyle w:val="Heading1"/>
      </w:pPr>
      <w:r>
        <w:t>三、引用来源核对</w:t>
      </w:r>
    </w:p>
    <w:tbl>
      <w:tblPr>
        <w:tblStyle w:val="TableGrid"/>
        <w:tblW w:type="auto" w:w="0"/>
        <w:tblLook w:firstColumn="1" w:firstRow="1" w:lastColumn="0" w:lastRow="0" w:noHBand="0" w:noVBand="1" w:val="04A0"/>
      </w:tblPr>
      <w:tblGrid>
        <w:gridCol w:w="4680"/>
        <w:gridCol w:w="4680"/>
      </w:tblGrid>
      <w:tr>
        <w:tc>
          <w:tcPr>
            <w:tcW w:type="dxa" w:w="4680"/>
            <w:shd w:fill="E8EEF5"/>
            <w:vAlign w:val="center"/>
          </w:tcPr>
          <w:p>
            <w:pPr>
              <w:spacing w:after="0" w:line="276" w:lineRule="auto"/>
            </w:pPr>
            <w:r/>
            <w:r>
              <w:rPr>
                <w:rFonts w:ascii="Times New Roman" w:hAnsi="Times New Roman" w:eastAsia="宋体"/>
                <w:b/>
                <w:sz w:val="21"/>
              </w:rPr>
              <w:t>文献</w:t>
            </w:r>
          </w:p>
        </w:tc>
        <w:tc>
          <w:tcPr>
            <w:tcW w:type="dxa" w:w="4680"/>
            <w:shd w:fill="E8EEF5"/>
            <w:vAlign w:val="center"/>
          </w:tcPr>
          <w:p>
            <w:pPr>
              <w:spacing w:after="0" w:line="276" w:lineRule="auto"/>
            </w:pPr>
            <w:r/>
            <w:r>
              <w:rPr>
                <w:rFonts w:ascii="Times New Roman" w:hAnsi="Times New Roman" w:eastAsia="宋体"/>
                <w:b/>
                <w:sz w:val="21"/>
              </w:rPr>
              <w:t>核对依据</w:t>
            </w:r>
          </w:p>
        </w:tc>
      </w:tr>
      <w:tr>
        <w:tc>
          <w:tcPr>
            <w:tcW w:type="dxa" w:w="4680"/>
            <w:vAlign w:val="center"/>
          </w:tcPr>
          <w:p>
            <w:pPr>
              <w:spacing w:after="0" w:line="276" w:lineRule="auto"/>
            </w:pPr>
            <w:r/>
            <w:r>
              <w:rPr>
                <w:rFonts w:ascii="Times New Roman" w:hAnsi="Times New Roman" w:eastAsia="宋体"/>
                <w:b w:val="0"/>
                <w:sz w:val="21"/>
              </w:rPr>
              <w:t>[21]</w:t>
            </w:r>
          </w:p>
        </w:tc>
        <w:tc>
          <w:tcPr>
            <w:tcW w:type="dxa" w:w="4680"/>
            <w:vAlign w:val="center"/>
          </w:tcPr>
          <w:p>
            <w:pPr>
              <w:spacing w:after="0" w:line="276" w:lineRule="auto"/>
            </w:pPr>
            <w:r/>
            <w:r>
              <w:rPr>
                <w:rFonts w:ascii="Times New Roman" w:hAnsi="Times New Roman" w:eastAsia="宋体"/>
                <w:b w:val="0"/>
                <w:sz w:val="21"/>
              </w:rPr>
              <w:t>计算机研究与发展网页显示题名、作者和摘要，摘要说明其梳理 LLM 生命周期中的安全威胁和隐私风险。</w:t>
            </w:r>
          </w:p>
        </w:tc>
      </w:tr>
      <w:tr>
        <w:tc>
          <w:tcPr>
            <w:tcW w:type="dxa" w:w="4680"/>
            <w:vAlign w:val="center"/>
          </w:tcPr>
          <w:p>
            <w:pPr>
              <w:spacing w:after="0" w:line="276" w:lineRule="auto"/>
            </w:pPr>
            <w:r/>
            <w:r>
              <w:rPr>
                <w:rFonts w:ascii="Times New Roman" w:hAnsi="Times New Roman" w:eastAsia="宋体"/>
                <w:b w:val="0"/>
                <w:sz w:val="21"/>
              </w:rPr>
              <w:t>[22]</w:t>
            </w:r>
          </w:p>
        </w:tc>
        <w:tc>
          <w:tcPr>
            <w:tcW w:type="dxa" w:w="4680"/>
            <w:vAlign w:val="center"/>
          </w:tcPr>
          <w:p>
            <w:pPr>
              <w:spacing w:after="0" w:line="276" w:lineRule="auto"/>
            </w:pPr>
            <w:r/>
            <w:r>
              <w:rPr>
                <w:rFonts w:ascii="Times New Roman" w:hAnsi="Times New Roman" w:eastAsia="宋体"/>
                <w:b w:val="0"/>
                <w:sz w:val="21"/>
              </w:rPr>
              <w:t>计算机研究与发展网页显示题名、作者和摘要，摘要明确讨论 prompt injection、indirect prompt injection、jailbreak、backdoor 四类攻击。</w:t>
            </w:r>
          </w:p>
        </w:tc>
      </w:tr>
      <w:tr>
        <w:tc>
          <w:tcPr>
            <w:tcW w:type="dxa" w:w="4680"/>
            <w:vAlign w:val="center"/>
          </w:tcPr>
          <w:p>
            <w:pPr>
              <w:spacing w:after="0" w:line="276" w:lineRule="auto"/>
            </w:pPr>
            <w:r/>
            <w:r>
              <w:rPr>
                <w:rFonts w:ascii="Times New Roman" w:hAnsi="Times New Roman" w:eastAsia="宋体"/>
                <w:b w:val="0"/>
                <w:sz w:val="21"/>
              </w:rPr>
              <w:t>[23]</w:t>
            </w:r>
          </w:p>
        </w:tc>
        <w:tc>
          <w:tcPr>
            <w:tcW w:type="dxa" w:w="4680"/>
            <w:vAlign w:val="center"/>
          </w:tcPr>
          <w:p>
            <w:pPr>
              <w:spacing w:after="0" w:line="276" w:lineRule="auto"/>
            </w:pPr>
            <w:r/>
            <w:r>
              <w:rPr>
                <w:rFonts w:ascii="Times New Roman" w:hAnsi="Times New Roman" w:eastAsia="宋体"/>
                <w:b w:val="0"/>
                <w:sz w:val="21"/>
              </w:rPr>
              <w:t>智能系统学报 PDF 给出中文引用格式：黄河燕等，2025，20(1):2-32，并列出 10 种安全风险分类。</w:t>
            </w:r>
          </w:p>
        </w:tc>
      </w:tr>
      <w:tr>
        <w:tc>
          <w:tcPr>
            <w:tcW w:type="dxa" w:w="4680"/>
            <w:vAlign w:val="center"/>
          </w:tcPr>
          <w:p>
            <w:pPr>
              <w:spacing w:after="0" w:line="276" w:lineRule="auto"/>
            </w:pPr>
            <w:r/>
            <w:r>
              <w:rPr>
                <w:rFonts w:ascii="Times New Roman" w:hAnsi="Times New Roman" w:eastAsia="宋体"/>
                <w:b w:val="0"/>
                <w:sz w:val="21"/>
              </w:rPr>
              <w:t>[24]</w:t>
            </w:r>
          </w:p>
        </w:tc>
        <w:tc>
          <w:tcPr>
            <w:tcW w:type="dxa" w:w="4680"/>
            <w:vAlign w:val="center"/>
          </w:tcPr>
          <w:p>
            <w:pPr>
              <w:spacing w:after="0" w:line="276" w:lineRule="auto"/>
            </w:pPr>
            <w:r/>
            <w:r>
              <w:rPr>
                <w:rFonts w:ascii="Times New Roman" w:hAnsi="Times New Roman" w:eastAsia="宋体"/>
                <w:b w:val="0"/>
                <w:sz w:val="21"/>
              </w:rPr>
              <w:t>信息安全学报检索结果给出题名、作者、期刊状态和摘要，覆盖安全威胁与防御方法。</w:t>
            </w:r>
          </w:p>
        </w:tc>
      </w:tr>
      <w:tr>
        <w:tc>
          <w:tcPr>
            <w:tcW w:type="dxa" w:w="4680"/>
            <w:vAlign w:val="center"/>
          </w:tcPr>
          <w:p>
            <w:pPr>
              <w:spacing w:after="0" w:line="276" w:lineRule="auto"/>
            </w:pPr>
            <w:r/>
            <w:r>
              <w:rPr>
                <w:rFonts w:ascii="Times New Roman" w:hAnsi="Times New Roman" w:eastAsia="宋体"/>
                <w:b w:val="0"/>
                <w:sz w:val="21"/>
              </w:rPr>
              <w:t>[25]</w:t>
            </w:r>
          </w:p>
        </w:tc>
        <w:tc>
          <w:tcPr>
            <w:tcW w:type="dxa" w:w="4680"/>
            <w:vAlign w:val="center"/>
          </w:tcPr>
          <w:p>
            <w:pPr>
              <w:spacing w:after="0" w:line="276" w:lineRule="auto"/>
            </w:pPr>
            <w:r/>
            <w:r>
              <w:rPr>
                <w:rFonts w:ascii="Times New Roman" w:hAnsi="Times New Roman" w:eastAsia="宋体"/>
                <w:b w:val="0"/>
                <w:sz w:val="21"/>
              </w:rPr>
              <w:t>计算机科学检索结果给出作者、期刊、年卷期、页码和摘要，覆盖提示注入、隐私安全、提示泄露等问题。</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