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PingFang SC"/>
          <w:b/>
          <w:color w:val="1F4E79"/>
          <w:sz w:val="40"/>
        </w:rPr>
        <w:t>图 5.6 实验结果修订操作说明</w:t>
      </w:r>
    </w:p>
    <w:p>
      <w:pPr>
        <w:jc w:val="center"/>
      </w:pPr>
      <w:r>
        <w:rPr>
          <w:rFonts w:ascii="Calibri" w:hAnsi="Calibri" w:eastAsia="PingFang SC"/>
          <w:color w:val="666666"/>
          <w:sz w:val="22"/>
        </w:rPr>
        <w:t>适用于 article/article.md 中 baseline、漏报分析与图片替换</w:t>
      </w:r>
    </w:p>
    <w:p>
      <w:pPr>
        <w:spacing w:after="100" w:line="259" w:lineRule="auto"/>
        <w:jc w:val="center"/>
      </w:pPr>
      <w:r>
        <w:rPr>
          <w:rFonts w:ascii="Calibri" w:hAnsi="Calibri" w:eastAsia="PingFang SC"/>
          <w:color w:val="666666"/>
          <w:sz w:val="18"/>
        </w:rPr>
        <w:t>生成位置：/Users/isaachuo/Agent-Firewall/article/fig_5_4_revision_guide.docx</w:t>
      </w:r>
    </w:p>
    <w:p>
      <w:pPr>
        <w:pStyle w:val="Heading1"/>
        <w:spacing w:after="100" w:line="259" w:lineRule="auto"/>
      </w:pPr>
      <w:r>
        <w:rPr>
          <w:rFonts w:ascii="Calibri" w:hAnsi="Calibri" w:eastAsia="PingFang SC"/>
        </w:rPr>
        <w:t>一、先做这两件事</w:t>
      </w:r>
    </w:p>
    <w:p>
      <w:pPr>
        <w:spacing w:after="100" w:line="259" w:lineRule="auto"/>
      </w:pPr>
      <w:r>
        <w:rPr>
          <w:rFonts w:ascii="Calibri" w:hAnsi="Calibri" w:eastAsia="PingFang SC"/>
        </w:rPr>
        <w:t>1. 图片已经按当前复算数据重画，并覆盖到 article/images/fig_5_4_failure_distribution.png。正文原有图片路径不用改。</w:t>
      </w:r>
    </w:p>
    <w:p>
      <w:pPr>
        <w:spacing w:after="100" w:line="259" w:lineRule="auto"/>
      </w:pPr>
      <w:r>
        <w:rPr>
          <w:rFonts w:ascii="Calibri" w:hAnsi="Calibri" w:eastAsia="PingFang SC"/>
        </w:rPr>
        <w:t>2. 正文中旧的 fast=269/358、balanced=274/358、84 个漏报需要同步改为当前策略阶梯口径，避免图文不一致。</w:t>
      </w:r>
    </w:p>
    <w:p>
      <w:pPr>
        <w:pStyle w:val="Heading1"/>
        <w:spacing w:after="100" w:line="259" w:lineRule="auto"/>
      </w:pPr>
      <w:r>
        <w:rPr>
          <w:rFonts w:ascii="Calibri" w:hAnsi="Calibri" w:eastAsia="PingFang SC"/>
        </w:rPr>
        <w:t>二、当前复算结果</w:t>
      </w:r>
    </w:p>
    <w:p>
      <w:pPr>
        <w:spacing w:after="100" w:line="259" w:lineRule="auto"/>
      </w:pPr>
      <w:r>
        <w:rPr>
          <w:rFonts w:ascii="Calibri" w:hAnsi="Calibri" w:eastAsia="PingFang SC"/>
        </w:rPr>
        <w:t>本轮复算基于当前仓库的 358 个 JSON 项目回归场景，使用 pre-LLM pipeline 与当前策略配置。该结果不是 AgentDojo、ToolEmu 或 ASB 的官方分数。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23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策略/边界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正确数</w:t>
            </w:r>
          </w:p>
        </w:tc>
        <w:tc>
          <w:tcPr>
            <w:tcW w:type="dxa" w:w="18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剩余未符合预期</w:t>
            </w:r>
          </w:p>
        </w:tc>
        <w:tc>
          <w:tcPr>
            <w:tcW w:type="dxa" w:w="46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论文解释口径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direct baseline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20/358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338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未保护直连边界，只在安全 ALLOW 样本上符合预期</w:t>
            </w:r>
          </w:p>
        </w:tc>
      </w:tr>
      <w:tr>
        <w:tc>
          <w:tcPr>
            <w:tcW w:type="dxa" w:w="2232"/>
            <w:vAlign w:val="center"/>
            <w:shd w:fill="F3F7FB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fast</w:t>
            </w:r>
          </w:p>
        </w:tc>
        <w:tc>
          <w:tcPr>
            <w:tcW w:type="dxa" w:w="1440"/>
            <w:vAlign w:val="center"/>
            <w:shd w:fill="F3F7FB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327/358</w:t>
            </w:r>
          </w:p>
        </w:tc>
        <w:tc>
          <w:tcPr>
            <w:tcW w:type="dxa" w:w="1800"/>
            <w:vAlign w:val="center"/>
            <w:shd w:fill="F3F7FB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31</w:t>
            </w:r>
          </w:p>
        </w:tc>
        <w:tc>
          <w:tcPr>
            <w:tcW w:type="dxa" w:w="4608"/>
            <w:vAlign w:val="center"/>
            <w:shd w:fill="F3F7FB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轻量规则与较高风险阈值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balanced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331/358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27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默认策略，比 fast 多修复 4 个场景</w:t>
            </w:r>
          </w:p>
        </w:tc>
      </w:tr>
      <w:tr>
        <w:tc>
          <w:tcPr>
            <w:tcW w:type="dxa" w:w="2232"/>
            <w:vAlign w:val="center"/>
            <w:shd w:fill="F3F7FB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strict</w:t>
            </w:r>
          </w:p>
        </w:tc>
        <w:tc>
          <w:tcPr>
            <w:tcW w:type="dxa" w:w="1440"/>
            <w:vAlign w:val="center"/>
            <w:shd w:fill="F3F7FB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331/358</w:t>
            </w:r>
          </w:p>
        </w:tc>
        <w:tc>
          <w:tcPr>
            <w:tcW w:type="dxa" w:w="1800"/>
            <w:vAlign w:val="center"/>
            <w:shd w:fill="F3F7FB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27</w:t>
            </w:r>
          </w:p>
        </w:tc>
        <w:tc>
          <w:tcPr>
            <w:tcW w:type="dxa" w:w="4608"/>
            <w:vAlign w:val="center"/>
            <w:shd w:fill="F3F7FB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当前场景下相对 balanced 无新增提升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paranoid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344/358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14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更低阈值继续减少剩余漏报，但仍有能力边界</w:t>
            </w:r>
          </w:p>
        </w:tc>
      </w:tr>
    </w:tbl>
    <w:p>
      <w:pPr>
        <w:spacing w:after="40"/>
      </w:pPr>
    </w:p>
    <w:p>
      <w:pPr>
        <w:pStyle w:val="Heading1"/>
        <w:spacing w:after="100" w:line="259" w:lineRule="auto"/>
      </w:pPr>
      <w:r>
        <w:rPr>
          <w:rFonts w:ascii="Calibri" w:hAnsi="Calibri" w:eastAsia="PingFang SC"/>
        </w:rPr>
        <w:t>三、需要修改的位置</w:t>
      </w:r>
    </w:p>
    <w:p>
      <w:pPr>
        <w:spacing w:after="100" w:line="259" w:lineRule="auto"/>
      </w:pPr>
      <w:r>
        <w:rPr>
          <w:rFonts w:ascii="Calibri" w:hAnsi="Calibri" w:eastAsia="PingFang SC"/>
        </w:rPr>
        <w:t>以下行号来自当前 article/article.md；如果你之后继续编辑正文，行号可能变化，但关键词位置不变。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32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当前问题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建议操作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摘要：article.md:9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仍写 fast=269/358、balanced=274/358、84 个漏报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替换为策略阶梯结果：fast 327/358、balanced 331/358、strict 331/358、paranoid 344/358</w:t>
            </w:r>
          </w:p>
        </w:tc>
      </w:tr>
      <w:tr>
        <w:tc>
          <w:tcPr>
            <w:tcW w:type="dxa" w:w="2592"/>
            <w:vAlign w:val="center"/>
            <w:shd w:fill="F3F7FB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英文摘要：article.md:19</w:t>
            </w:r>
          </w:p>
        </w:tc>
        <w:tc>
          <w:tcPr>
            <w:tcW w:type="dxa" w:w="3240"/>
            <w:vAlign w:val="center"/>
            <w:shd w:fill="F3F7FB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英文统计值仍是旧口径</w:t>
            </w:r>
          </w:p>
        </w:tc>
        <w:tc>
          <w:tcPr>
            <w:tcW w:type="dxa" w:w="4464"/>
            <w:vAlign w:val="center"/>
            <w:shd w:fill="F3F7FB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同步替换英文数值和 remaining failures 表述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第 5.5 Baseline 设计：article.md:601-611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仍按双 baseline 叙述，balanced 只比 fast 多 5 个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改为策略阶梯实验设计，保留 direct 和 fast 作为 baseline</w:t>
            </w:r>
          </w:p>
        </w:tc>
      </w:tr>
      <w:tr>
        <w:tc>
          <w:tcPr>
            <w:tcW w:type="dxa" w:w="2592"/>
            <w:vAlign w:val="center"/>
            <w:shd w:fill="F3F7FB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第 5.6.4：article.md:712</w:t>
            </w:r>
          </w:p>
        </w:tc>
        <w:tc>
          <w:tcPr>
            <w:tcW w:type="dxa" w:w="3240"/>
            <w:vAlign w:val="center"/>
            <w:shd w:fill="F3F7FB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仍解释 274/358 和 84 个失败</w:t>
            </w:r>
          </w:p>
        </w:tc>
        <w:tc>
          <w:tcPr>
            <w:tcW w:type="dxa" w:w="4464"/>
            <w:vAlign w:val="center"/>
            <w:shd w:fill="F3F7FB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改为说明 deterministic 原始测试与本轮策略阶梯复算的口径差异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第 5.7.1：article.md:754-772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表格与解释仍是旧 fast/balanced 对比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整体替换为“策略阶梯实验结果”</w:t>
            </w:r>
          </w:p>
        </w:tc>
      </w:tr>
      <w:tr>
        <w:tc>
          <w:tcPr>
            <w:tcW w:type="dxa" w:w="2592"/>
            <w:vAlign w:val="center"/>
            <w:shd w:fill="F3F7FB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第 5.7.5：article.md:847-864</w:t>
            </w:r>
          </w:p>
        </w:tc>
        <w:tc>
          <w:tcPr>
            <w:tcW w:type="dxa" w:w="3240"/>
            <w:vAlign w:val="center"/>
            <w:shd w:fill="F3F7FB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漏报分析仍围绕 fast 与 balanced 并列比较</w:t>
            </w:r>
          </w:p>
        </w:tc>
        <w:tc>
          <w:tcPr>
            <w:tcW w:type="dxa" w:w="4464"/>
            <w:vAlign w:val="center"/>
            <w:shd w:fill="F3F7FB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改为“剩余漏报能力边界”，重点分析 balanced/paranoid 后仍失败类别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局限性：article.md:972</w:t>
            </w:r>
          </w:p>
        </w:tc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仍写 balanced 有 84 个攻击或敏感样本被放行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改为 balanced 剩余 27 个、paranoid 剩余 14 个，并强调当前回归场景口径</w:t>
            </w:r>
          </w:p>
        </w:tc>
      </w:tr>
      <w:tr>
        <w:tc>
          <w:tcPr>
            <w:tcW w:type="dxa" w:w="2592"/>
            <w:vAlign w:val="center"/>
            <w:shd w:fill="F3F7FB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附录 A.5/A.6：article.md:1113-1193</w:t>
            </w:r>
          </w:p>
        </w:tc>
        <w:tc>
          <w:tcPr>
            <w:tcW w:type="dxa" w:w="3240"/>
            <w:vAlign w:val="center"/>
            <w:shd w:fill="F3F7FB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统计表和 one-off 输出仍是旧矩阵</w:t>
            </w:r>
          </w:p>
        </w:tc>
        <w:tc>
          <w:tcPr>
            <w:tcW w:type="dxa" w:w="4464"/>
            <w:vAlign w:val="center"/>
            <w:shd w:fill="F3F7FB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更新为 5 个策略的复算结果和矩阵</w:t>
            </w:r>
          </w:p>
        </w:tc>
      </w:tr>
    </w:tbl>
    <w:p>
      <w:pPr>
        <w:spacing w:after="40"/>
      </w:pPr>
    </w:p>
    <w:p>
      <w:pPr>
        <w:pStyle w:val="Heading1"/>
        <w:spacing w:after="100" w:line="259" w:lineRule="auto"/>
      </w:pPr>
      <w:r>
        <w:rPr>
          <w:rFonts w:ascii="Calibri" w:hAnsi="Calibri" w:eastAsia="PingFang SC"/>
        </w:rPr>
        <w:t>四、可直接替换的正文段落</w:t>
      </w:r>
    </w:p>
    <w:p>
      <w:pPr>
        <w:pStyle w:val="Heading2"/>
        <w:spacing w:after="100" w:line="259" w:lineRule="auto"/>
      </w:pPr>
      <w:r>
        <w:rPr>
          <w:rFonts w:ascii="Calibri" w:hAnsi="Calibri" w:eastAsia="PingFang SC"/>
        </w:rPr>
        <w:t>4.1 第 5.7.1 标题</w:t>
      </w:r>
    </w:p>
    <w:p>
      <w:pPr>
        <w:spacing w:after="100" w:line="259" w:lineRule="auto"/>
      </w:pPr>
      <w:r>
        <w:rPr>
          <w:rFonts w:ascii="Calibri" w:hAnsi="Calibri" w:eastAsia="PingFang SC"/>
        </w:rPr>
        <w:t>### 5.7.1 策略阶梯实验结果</w:t>
      </w:r>
    </w:p>
    <w:p>
      <w:pPr>
        <w:pStyle w:val="Heading2"/>
        <w:spacing w:after="100" w:line="259" w:lineRule="auto"/>
      </w:pPr>
      <w:r>
        <w:rPr>
          <w:rFonts w:ascii="Calibri" w:hAnsi="Calibri" w:eastAsia="PingFang SC"/>
        </w:rPr>
        <w:t>4.2 第 5.7.1 正文建议替换稿</w:t>
      </w:r>
    </w:p>
    <w:p>
      <w:pPr>
        <w:spacing w:after="100" w:line="259" w:lineRule="auto"/>
      </w:pPr>
      <w:r>
        <w:rPr>
          <w:rFonts w:ascii="Calibri" w:hAnsi="Calibri" w:eastAsia="PingFang SC"/>
        </w:rPr>
        <w:t>为了更清楚地区分不同安全边界的能力，本文将原有 direct、fast 和 balanced 对比扩展为策略阶梯实验。direct 表示未保护 LLM 直连边界，不执行扫描、审计和工具门控；fast 只启用轻量规则和较高风险阈值；balanced 是系统默认策略；strict 加入更完整的扫描节点和更低阈值；paranoid 进一步降低风险阈值并启用更强安全配置。</w:t>
      </w:r>
    </w:p>
    <w:p>
      <w:pPr>
        <w:spacing w:after="100" w:line="259" w:lineRule="auto"/>
      </w:pPr>
      <w:r>
        <w:rPr>
          <w:rFonts w:ascii="Calibri" w:hAnsi="Calibri" w:eastAsia="PingFang SC"/>
        </w:rPr>
        <w:t>在 358 个 JSON 项目回归场景上，direct 只能正确处理 20 个安全 ALLOW 样本；fast、balanced、strict 和 paranoid 分别达到 327/358、331/358、331/358 和 344/358。该结果说明，加入确定性安全边界后，系统相对未保护直连有明显提升；但 balanced 到 strict 在当前场景上没有产生额外增益，说明单纯增加策略节点并不必然改善检测效果。paranoid 通过更低风险阈值进一步减少剩余漏报，但该结果仍应理解为当前项目回归场景下的策略表现，而不是公开 benchmark 的通用安全分数。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23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实验边界</w:t>
            </w:r>
          </w:p>
        </w:tc>
        <w:tc>
          <w:tcPr>
            <w:tcW w:type="dxa" w:w="103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正确数</w:t>
            </w:r>
          </w:p>
        </w:tc>
        <w:tc>
          <w:tcPr>
            <w:tcW w:type="dxa" w:w="103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总数</w:t>
            </w:r>
          </w:p>
        </w:tc>
        <w:tc>
          <w:tcPr>
            <w:tcW w:type="dxa" w:w="151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剩余未符合预期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direct baseline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20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358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338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未保护直连，不提供系统级阻断或清洗</w:t>
            </w:r>
          </w:p>
        </w:tc>
      </w:tr>
      <w:tr>
        <w:tc>
          <w:tcPr>
            <w:tcW w:type="dxa" w:w="2232"/>
            <w:vAlign w:val="center"/>
            <w:shd w:fill="F3F7FB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fast</w:t>
            </w:r>
          </w:p>
        </w:tc>
        <w:tc>
          <w:tcPr>
            <w:tcW w:type="dxa" w:w="1037"/>
            <w:vAlign w:val="center"/>
            <w:shd w:fill="F3F7FB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327</w:t>
            </w:r>
          </w:p>
        </w:tc>
        <w:tc>
          <w:tcPr>
            <w:tcW w:type="dxa" w:w="1037"/>
            <w:vAlign w:val="center"/>
            <w:shd w:fill="F3F7FB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358</w:t>
            </w:r>
          </w:p>
        </w:tc>
        <w:tc>
          <w:tcPr>
            <w:tcW w:type="dxa" w:w="1512"/>
            <w:vAlign w:val="center"/>
            <w:shd w:fill="F3F7FB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31</w:t>
            </w:r>
          </w:p>
        </w:tc>
        <w:tc>
          <w:tcPr>
            <w:tcW w:type="dxa" w:w="4320"/>
            <w:vAlign w:val="center"/>
            <w:shd w:fill="F3F7FB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轻量规则与较高阈值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balanced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331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358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27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默认策略，比 fast 多修复 4 个场景</w:t>
            </w:r>
          </w:p>
        </w:tc>
      </w:tr>
      <w:tr>
        <w:tc>
          <w:tcPr>
            <w:tcW w:type="dxa" w:w="2232"/>
            <w:vAlign w:val="center"/>
            <w:shd w:fill="F3F7FB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strict</w:t>
            </w:r>
          </w:p>
        </w:tc>
        <w:tc>
          <w:tcPr>
            <w:tcW w:type="dxa" w:w="1037"/>
            <w:vAlign w:val="center"/>
            <w:shd w:fill="F3F7FB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331</w:t>
            </w:r>
          </w:p>
        </w:tc>
        <w:tc>
          <w:tcPr>
            <w:tcW w:type="dxa" w:w="1037"/>
            <w:vAlign w:val="center"/>
            <w:shd w:fill="F3F7FB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358</w:t>
            </w:r>
          </w:p>
        </w:tc>
        <w:tc>
          <w:tcPr>
            <w:tcW w:type="dxa" w:w="1512"/>
            <w:vAlign w:val="center"/>
            <w:shd w:fill="F3F7FB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27</w:t>
            </w:r>
          </w:p>
        </w:tc>
        <w:tc>
          <w:tcPr>
            <w:tcW w:type="dxa" w:w="4320"/>
            <w:vAlign w:val="center"/>
            <w:shd w:fill="F3F7FB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当前场景上与 balanced 持平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paranoid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344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358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14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sz w:val="18"/>
              </w:rPr>
              <w:t>更低阈值继续减少剩余漏报</w:t>
            </w:r>
          </w:p>
        </w:tc>
      </w:tr>
    </w:tbl>
    <w:p>
      <w:pPr>
        <w:spacing w:after="40"/>
      </w:pPr>
    </w:p>
    <w:p>
      <w:pPr>
        <w:pStyle w:val="Heading2"/>
        <w:spacing w:after="100" w:line="259" w:lineRule="auto"/>
      </w:pPr>
      <w:r>
        <w:rPr>
          <w:rFonts w:ascii="Calibri" w:hAnsi="Calibri" w:eastAsia="PingFang SC"/>
        </w:rPr>
        <w:t>4.3 第 5.7.5 正文建议替换稿</w:t>
      </w:r>
    </w:p>
    <w:p>
      <w:pPr>
        <w:spacing w:after="100" w:line="259" w:lineRule="auto"/>
      </w:pPr>
      <w:r>
        <w:rPr>
          <w:rFonts w:ascii="Calibri" w:hAnsi="Calibri" w:eastAsia="PingFang SC"/>
        </w:rPr>
        <w:t>策略阶梯实验表明，balanced 相比 fast 只额外修复 4 个场景，strict 相比 balanced 没有新增修复，而 paranoid 进一步修复 13 个场景。因此，漏报分析的重点不应放在 fast 与 balanced 的并列对比，而应放在剩余能力边界上。当前 balanced 仍有 27 个攻击或敏感样本未符合预期，paranoid 仍有 14 个样本未符合预期，主要集中在凭据变体、编码混淆、Agent 语境下的 obfuscation、RAG poisoning、Prompt Injection (Agent) 和 Advanced Multi-Turn 等类别。</w:t>
      </w:r>
    </w:p>
    <w:p>
      <w:pPr>
        <w:spacing w:after="100" w:line="259" w:lineRule="auto"/>
      </w:pPr>
      <w:r>
        <w:rPr>
          <w:rFonts w:ascii="Calibri" w:hAnsi="Calibri" w:eastAsia="PingFang SC"/>
        </w:rPr>
        <w:t>这些失败说明，Agent-Firewall 的架构能够提供模型前扫描、工具前门控、工具后清洗和 Trace 证据链，但检测信号本身仍需要增强。尤其是自然语言描述的密钥、非标准凭据格式、跨语言攻击、分片载荷、长期记忆污染和多轮渐进诱导，不能只依赖单轮规则与风险阈值完成判定。后续应将这些类别作为高优先级回归集合，而不是简单把它们归因于测试环境问题。</w:t>
      </w:r>
    </w:p>
    <w:p>
      <w:pPr>
        <w:pStyle w:val="Heading2"/>
        <w:spacing w:after="100" w:line="259" w:lineRule="auto"/>
      </w:pPr>
      <w:r>
        <w:rPr>
          <w:rFonts w:ascii="Calibri" w:hAnsi="Calibri" w:eastAsia="PingFang SC"/>
        </w:rPr>
        <w:t>4.4 图片引用和图注替换</w:t>
      </w:r>
    </w:p>
    <w:p>
      <w:pPr>
        <w:spacing w:after="100" w:line="259" w:lineRule="auto"/>
      </w:pPr>
      <w:r>
        <w:rPr>
          <w:rFonts w:ascii="Calibri" w:hAnsi="Calibri" w:eastAsia="PingFang SC"/>
        </w:rPr>
        <w:t>正文图片路径保持不变，但图注建议从 “balanced 漏报类别分布” 改为：</w:t>
      </w:r>
    </w:p>
    <w:p>
      <w:pPr>
        <w:spacing w:after="100" w:line="259" w:lineRule="auto"/>
      </w:pPr>
      <w:r>
        <w:rPr>
          <w:rFonts w:ascii="Calibri" w:hAnsi="Calibri" w:eastAsia="PingFang SC"/>
        </w:rPr>
        <w:t>![图 5.6 策略强度与剩余漏报类别分布](images/fig_5_4_failure_distribution.png)</w:t>
      </w:r>
    </w:p>
    <w:p>
      <w:pPr>
        <w:spacing w:after="100" w:line="259" w:lineRule="auto"/>
      </w:pPr>
      <w:r>
        <w:rPr>
          <w:rFonts w:ascii="Calibri" w:hAnsi="Calibri" w:eastAsia="PingFang SC"/>
        </w:rPr>
        <w:t>图 5.6 策略强度与剩余漏报类别分布</w:t>
      </w:r>
    </w:p>
    <w:p>
      <w:pPr>
        <w:pStyle w:val="Heading1"/>
        <w:spacing w:after="100" w:line="259" w:lineRule="auto"/>
      </w:pPr>
      <w:r>
        <w:rPr>
          <w:rFonts w:ascii="Calibri" w:hAnsi="Calibri" w:eastAsia="PingFang SC"/>
        </w:rPr>
        <w:t>五、新图片预览</w:t>
      </w:r>
    </w:p>
    <w:p>
      <w:pPr>
        <w:spacing w:after="100" w:line="259" w:lineRule="auto"/>
      </w:pPr>
      <w:r>
        <w:rPr>
          <w:rFonts w:ascii="Calibri" w:hAnsi="Calibri" w:eastAsia="PingFang SC"/>
        </w:rPr>
        <w:t>这张图采用 SciencePlots 风格重新绘制：左侧展示策略强度与剩余失败数，右侧展示 paranoid 后仍剩余的 Top-N 类别。图中标签已调整为宽版布局，避免文字相互重叠。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6731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4_failure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73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PingFang SC"/>
          <w:color w:val="666666"/>
          <w:sz w:val="18"/>
        </w:rPr>
        <w:t>图 5.6 策略强度与剩余漏报类别分布（预览）</w:t>
      </w:r>
    </w:p>
    <w:p>
      <w:pPr>
        <w:pStyle w:val="Heading1"/>
        <w:spacing w:after="100" w:line="259" w:lineRule="auto"/>
      </w:pPr>
      <w:r>
        <w:rPr>
          <w:rFonts w:ascii="Calibri" w:hAnsi="Calibri" w:eastAsia="PingFang SC"/>
        </w:rPr>
        <w:t>六、操作后检查</w:t>
      </w:r>
    </w:p>
    <w:p>
      <w:pPr>
        <w:spacing w:after="100" w:line="259" w:lineRule="auto"/>
      </w:pPr>
      <w:r>
        <w:rPr>
          <w:rFonts w:ascii="Calibri" w:hAnsi="Calibri" w:eastAsia="PingFang SC"/>
        </w:rPr>
        <w:t>替换正文后建议执行以下检查：</w:t>
      </w:r>
    </w:p>
    <w:p>
      <w:pPr>
        <w:spacing w:after="80"/>
        <w:ind w:left="216"/>
      </w:pPr>
      <w:r>
        <w:rPr>
          <w:rFonts w:ascii="Menlo" w:hAnsi="Menlo" w:eastAsia="Menlo"/>
          <w:sz w:val="17"/>
        </w:rPr>
        <w:t>rg -n "269/358|274/358|84 个|84个" article/article.md  # 应无旧数值输出</w:t>
      </w:r>
    </w:p>
    <w:p>
      <w:pPr>
        <w:spacing w:after="80"/>
        <w:ind w:left="216"/>
      </w:pPr>
      <w:r>
        <w:rPr>
          <w:rFonts w:ascii="Menlo" w:hAnsi="Menlo" w:eastAsia="Menlo"/>
          <w:sz w:val="17"/>
        </w:rPr>
        <w:t>rg -n "图 5\.6|fig_5_4_failure_distribution" article/article.md  # 确认图注与路径仍存在</w:t>
      </w:r>
    </w:p>
    <w:p>
      <w:pPr>
        <w:spacing w:after="80"/>
        <w:ind w:left="216"/>
      </w:pPr>
      <w:r>
        <w:rPr>
          <w:rFonts w:ascii="Menlo" w:hAnsi="Menlo" w:eastAsia="Menlo"/>
          <w:sz w:val="17"/>
        </w:rPr>
        <w:t>python3 - &lt;&lt;'PY'</w:t>
        <w:br/>
        <w:t>from pathlib import Path</w:t>
        <w:br/>
        <w:t>import re</w:t>
        <w:br/>
        <w:t>root = Path("article")</w:t>
        <w:br/>
        <w:t>text = (root / "article.md").read_text()</w:t>
        <w:br/>
        <w:t>missing = []</w:t>
        <w:br/>
        <w:t>for m in re.findall(r"!\[[^\]]*\]\((images/[^)]+)\)", text):</w:t>
        <w:br/>
        <w:t xml:space="preserve">    if not (root / m).exists():</w:t>
        <w:br/>
        <w:t xml:space="preserve">        missing.append(m)</w:t>
        <w:br/>
        <w:t>print("missing:", missing)</w:t>
        <w:br/>
        <w:t>PY</w:t>
      </w:r>
    </w:p>
    <w:p>
      <w:pPr>
        <w:spacing w:after="80"/>
        <w:ind w:left="216"/>
      </w:pPr>
      <w:r>
        <w:rPr>
          <w:rFonts w:ascii="Menlo" w:hAnsi="Menlo" w:eastAsia="Menlo"/>
          <w:sz w:val="17"/>
        </w:rPr>
        <w:t>git diff --check -- article/article.md</w:t>
      </w:r>
    </w:p>
    <w:p>
      <w:pPr>
        <w:pStyle w:val="Heading1"/>
        <w:spacing w:after="100" w:line="259" w:lineRule="auto"/>
      </w:pPr>
      <w:r>
        <w:rPr>
          <w:rFonts w:ascii="Calibri" w:hAnsi="Calibri" w:eastAsia="PingFang SC"/>
        </w:rPr>
        <w:t>七、不要写成什么</w:t>
      </w:r>
    </w:p>
    <w:p>
      <w:pPr>
        <w:spacing w:after="100" w:line="259" w:lineRule="auto"/>
      </w:pPr>
      <w:r>
        <w:rPr>
          <w:rFonts w:ascii="Calibri" w:hAnsi="Calibri" w:eastAsia="PingFang SC"/>
        </w:rPr>
        <w:t>不要再把 269/358、274/358 和 84 个漏报作为当前主实验结论；不要把这组结果写成公开 benchmark 官方成绩；也不要把 direct endpoint 描述成受保护链路。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PingFang S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PingFang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图 5.6 实验结果修订操作说明</dc:title>
  <dc:subject>Agent-Firewall thesis revision guide</dc:subject>
  <dc:creator>Codex</dc:creator>
  <cp:keywords/>
  <dc:description>Generated from current local policy-ladder recomputation and revised figure.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