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Prof. Susan Chang,</w:t>
      </w:r>
    </w:p>
    <w:p>
      <w:pPr>
        <w:pStyle w:val="BodyText"/>
      </w:pPr>
      <w:r>
        <w:t xml:space="preserve">We are pleased to submit our manuscript entitled</w:t>
      </w:r>
      <w:r>
        <w:t xml:space="preserve"> </w:t>
      </w:r>
      <w:r>
        <w:t xml:space="preserve">“Post-transcriptional spliceosome accumulation defines a therapeutically targetable malignant cell state in glioblastoma”</w:t>
      </w:r>
      <w:r>
        <w:t xml:space="preserve"> </w:t>
      </w:r>
      <w:r>
        <w:t xml:space="preserve">for consideration as an Original Research article in the Journal of Neuro-Oncology.</w:t>
      </w:r>
    </w:p>
    <w:p>
      <w:pPr>
        <w:pStyle w:val="BodyText"/>
      </w:pPr>
      <w:r>
        <w:t xml:space="preserve">Glioblastoma remains the most aggressive primary brain tumor, and precision stratification of its malignant cell states is an unmet clinical need. In this computational translational study, we integrate single-cell transcriptomics (35,823 cells), spatial transcriptomics, CPTAC proteomics and acetylomics, eight clinical cohorts, and pharmacogenomic screens to define a writer-dominant malignant state marked by post-transcriptional spliceosome accumulation — a counterintuitive finding in which spliceosome proteins accumulate without mRNA induction (protein ρ = 0.79 vs mRNA ρ = −0.03). Site-level acetylome analysis nominates acetylation–ubiquitination competition as the stabilizing mechanism.</w:t>
      </w:r>
    </w:p>
    <w:p>
      <w:pPr>
        <w:pStyle w:val="BodyText"/>
      </w:pPr>
      <w:r>
        <w:t xml:space="preserve">For the neuro-oncology readership, the study delivers three clinically anchored outputs: (i) a six-gene prognostic signature (HIF1A, SIRT2, MMP2, ITGA5, HDAC1, SPP1) validated in TCGA-GBM and two CGGA cohorts (log-rank p = 0.0028; 3.4 × 10⁻¹⁹; 7.7 × 10⁻¹⁸), suitable for baseline risk stratification of newly diagnosed GBM; (ii) a therapeutically actionable axis — high-WEBS cells show CRISPR dependency on MED1 and spliceosome factors SF3B1/SRSF1 and increased sensitivity to the approved HDAC inhibitors vorinostat and entinostat (q = 1.1 × 10⁻⁴ and 8.7 × 10⁻⁵), with molecular docking supporting target engagement; and (iii) an open tool (WEBS) for quantifying this state in future datasets. We explicitly report where the axis does not predict (immunotherapy response, bulk-RNA survival in TCGA-GBM, non-GBM cancers), framing these as testable boundary hypotheses.</w:t>
      </w:r>
    </w:p>
    <w:p>
      <w:pPr>
        <w:pStyle w:val="BodyText"/>
      </w:pPr>
      <w:r>
        <w:t xml:space="preserve">We believe this work fits the Journal of Neuro-Oncology’s focus on translational neuro-oncology: it generates concrete, testable hypotheses for GBM precision medicine while openly releasing all code and the analysis pipeline (GitHub + Zenodo DOI) for the community.</w:t>
      </w:r>
    </w:p>
    <w:p>
      <w:pPr>
        <w:pStyle w:val="BodyText"/>
      </w:pPr>
      <w:r>
        <w:t xml:space="preserve">This manuscript is original, has not been published previously, and is not under consideration by any other journal. All authors have read and approved the manuscript and declare no competing interests. This study used exclusively publicly available, de-identified datasets; no ethical approval was required. During the preparation of this work, the authors used generative AI tools for language editing and computational pipeline reconstruction; all scientific content, data analysis, and conclusions were generated and verified by the authors, who take full responsibility for the content of this publication.</w:t>
      </w:r>
    </w:p>
    <w:p>
      <w:pPr>
        <w:pStyle w:val="BodyText"/>
      </w:pPr>
      <w:r>
        <w:t xml:space="preserve">Thank you for your consideration.</w:t>
      </w:r>
    </w:p>
    <w:p>
      <w:pPr>
        <w:pStyle w:val="BodyText"/>
      </w:pPr>
      <w:r>
        <w:t xml:space="preserve">Sincerely,</w:t>
      </w:r>
    </w:p>
    <w:p>
      <w:pPr>
        <w:pStyle w:val="BodyText"/>
      </w:pPr>
      <w:r>
        <w:t xml:space="preserve">Jia Chen, PhD (on behalf of all co-authors)</w:t>
      </w:r>
      <w:r>
        <w:t xml:space="preserve"> </w:t>
      </w:r>
      <w:r>
        <w:t xml:space="preserve">Department of Bioinformatics, Chengdu Neusoft University</w:t>
      </w:r>
      <w:r>
        <w:t xml:space="preserve"> </w:t>
      </w:r>
      <w:r>
        <w:t xml:space="preserve">No. 1 Dongruan Avenue, Chengdu, Sichuan 611844, China</w:t>
      </w:r>
      <w:r>
        <w:t xml:space="preserve"> </w:t>
      </w:r>
      <w:r>
        <w:t xml:space="preserve">Phone: [to be added] | Email: 1176625889@qq.com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line="480"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sz w:val="24"/>
      <w:szCs w:val="24"/>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2026-11-01T01:06:03Z</dcterms:created>
  <dcterms:modified xsi:type="dcterms:W3CDTF">2026-11-01T01:06:03Z</dcterms:modified>
</cp:coreProperties>
</file>

<file path=docProps/custom.xml><?xml version="1.0" encoding="utf-8"?>
<Properties xmlns="http://schemas.openxmlformats.org/officeDocument/2006/custom-properties" xmlns:vt="http://schemas.openxmlformats.org/officeDocument/2006/docPropsVTypes"/>
</file>