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82.jpg" ContentType="image/jpeg"/>
  <Override PartName="/word/media/rId85.jpg" ContentType="image/jpeg"/>
  <Override PartName="/word/media/rId88.jpg" ContentType="image/jpeg"/>
  <Override PartName="/word/media/rId58.jpg" ContentType="image/jpeg"/>
  <Override PartName="/word/media/rId61.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Post-transcriptional spliceosome accumulation defines a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rPr>
          <w:b/>
          <w:bCs/>
        </w:rPr>
        <w:t xml:space="preserve">Background</w:t>
      </w:r>
      <w:r>
        <w:t xml:space="preserve">: Glioblastoma (GBM) malignant states driven by epigenetic writer–eraser imbalance lack proteome-level characterization. We asked whether such a state exists, what its proteomic output is, and whether it is therapeutically actionable.</w:t>
      </w:r>
    </w:p>
    <w:p>
      <w:pPr>
        <w:pStyle w:val="BodyText"/>
      </w:pPr>
      <w:r>
        <w:rPr>
          <w:b/>
          <w:bCs/>
        </w:rPr>
        <w:t xml:space="preserve">Methods</w:t>
      </w:r>
      <w:r>
        <w:t xml:space="preserve">: We integrated single-cell (35,823 cells, GSE138794), spatial (GSE194329), and bulk transcriptomics (TCGA, CGGA, GSE7696) with CPTAC-GBM TMT proteomics/acetylomics, DepMap 24Q2 CRISPR screening, GDSC2 pharmacogenomics, and AutoDock Vina docking. We computed the Writer–Eraser Balance Score (WEBS) and validated it across layers including CopyKAT purity control, bootstrap feature stability, SHAP interpretability, and ablation.</w:t>
      </w:r>
    </w:p>
    <w:p>
      <w:pPr>
        <w:pStyle w:val="BodyText"/>
      </w:pPr>
      <w:r>
        <w:rPr>
          <w:b/>
          <w:bCs/>
        </w:rPr>
        <w:t xml:space="preserve">Results</w:t>
      </w:r>
      <w:r>
        <w:t xml:space="preserve">: A writer-dominant malignant state showed proteome-wide spliceosome activation that was post-transcriptional: spliceosome abundance tracked the epigenetic state at the protein (Spearman ρ = 0.79) but not the mRNA level (ρ = −0.03), exceeding 100 size-matched random gene sets (empirical p = 0.010). Splicing-factor lysine acetylation was enriched (OR = 7.36, p = 1.3 × 10⁻¹⁸) and coupled to protein abundance (median ρ = 0.62). A six-gene signature stratified survival in TCGA-GBM (p = 0.0028) and CGGA-693/325 (p = 3.4 × 10⁻¹⁹; 7.7 × 10⁻¹⁸). High-WEBS cells showed MED1/SF3B1/SRSF1 dependency and HDAC-inhibitor sensitivity (vorinostat q = 1.1 × 10⁻⁴; entinostat q = 8.7 × 10⁻⁵), with favorable docking (−7.9 and −6.7 kcal/mol).</w:t>
      </w:r>
    </w:p>
    <w:p>
      <w:pPr>
        <w:pStyle w:val="BodyText"/>
      </w:pPr>
      <w:r>
        <w:rPr>
          <w:b/>
          <w:bCs/>
        </w:rPr>
        <w:t xml:space="preserve">Conclusions</w:t>
      </w:r>
      <w:r>
        <w:t xml:space="preserve">: Writer–eraser imbalance defines a therapeutically targetable GBM cell state marked by post-transcriptional spliceosome accumulation, with explicit predictive boundaries.</w:t>
      </w:r>
    </w:p>
    <w:p>
      <w:pPr>
        <w:pStyle w:val="BodyText"/>
      </w:pPr>
      <w:r>
        <w:rPr>
          <w:b/>
          <w:bCs/>
        </w:rPr>
        <w:t xml:space="preserve">Keywords</w:t>
      </w:r>
      <w:r>
        <w:t xml:space="preserve">: glioblastoma; spliceosome; writer–eraser balance; single-cell multi-omics; proteomics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abbreviations"/>
      <w:r>
        <w:t xml:space="preserve">Abbreviations</w:t>
      </w:r>
      <w:bookmarkEnd w:id="12"/>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3" w:name="_introduction"/>
      <w:r>
        <w:t xml:space="preserve">1. Introduction</w:t>
      </w:r>
      <w:bookmarkEnd w:id="13"/>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4" w:name="_methods"/>
      <w:r>
        <w:t xml:space="preserve">2. Methods</w:t>
      </w:r>
      <w:bookmarkEnd w:id="14"/>
    </w:p>
    <w:p>
      <w:pPr>
        <w:pStyle w:val="Heading2"/>
      </w:pPr>
      <w:bookmarkStart w:id="15" w:name="_60ab88ea7c784c0820fe7a63c9fb74c6302d3a0"/>
      <w:r>
        <w:t xml:space="preserve">2.1 Data sources</w:t>
      </w:r>
      <w:bookmarkEnd w:id="15"/>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6" w:name="_e38d160a970a83bb000d05395473990629f4c36"/>
      <w:r>
        <w:t xml:space="preserve">2.2 WEBS computation</w:t>
      </w:r>
      <w:bookmarkEnd w:id="16"/>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7" w:name="_198fd697aba316a778928ed421898f4b1da1816"/>
      <w:r>
        <w:t xml:space="preserve">2.3 Single-cell analysis</w:t>
      </w:r>
      <w:bookmarkEnd w:id="17"/>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8" w:name="_9e3ad0132d5ca9a87c1ce54cab7a96af62ee89b"/>
      <w:r>
        <w:t xml:space="preserve">2.4 Spatial transcriptomics</w:t>
      </w:r>
      <w:bookmarkEnd w:id="18"/>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19" w:name="_e55bc9fb9b533fcfbb3b2c5c37cd6bfc11e3897"/>
      <w:r>
        <w:t xml:space="preserve">2.5 snATAC-seq</w:t>
      </w:r>
      <w:bookmarkEnd w:id="19"/>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0" w:name="_proteomics"/>
      <w:r>
        <w:t xml:space="preserve">2.6 Proteomics</w:t>
      </w:r>
      <w:bookmarkEnd w:id="20"/>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1" w:name="_mofa2"/>
      <w:r>
        <w:t xml:space="preserve">2.7 MOFA2</w:t>
      </w:r>
      <w:bookmarkEnd w:id="21"/>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2" w:name="_756128c6ec063544dd6165d960741ccc08b183b"/>
      <w:r>
        <w:t xml:space="preserve">2.8 Prognostic modeling</w:t>
      </w:r>
      <w:bookmarkEnd w:id="22"/>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3" w:name="_05a9e33c1ec9c41a2f8bcf54dd86cfbf90e12e8"/>
      <w:r>
        <w:t xml:space="preserve">2.9 Pharmacogenomics and molecular docking</w:t>
      </w:r>
      <w:bookmarkEnd w:id="23"/>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4" w:name="_2198ce496063fd640f705ee5fadc920b35e32f1"/>
      <w:r>
        <w:t xml:space="preserve">2.10 Communication analysis and benchmarking</w:t>
      </w:r>
      <w:bookmarkEnd w:id="24"/>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5" w:name="_78f5c4c65ac161a6e0265c258d09f95487878b1"/>
      <w:r>
        <w:t xml:space="preserve">2.11 Statistics and reproducibility</w:t>
      </w:r>
      <w:bookmarkEnd w:id="25"/>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6" w:name="_results"/>
      <w:r>
        <w:t xml:space="preserve">3. Results</w:t>
      </w:r>
      <w:bookmarkEnd w:id="26"/>
    </w:p>
    <w:p>
      <w:pPr>
        <w:pStyle w:val="Heading2"/>
      </w:pPr>
      <w:bookmarkStart w:id="27" w:name="_66330e32a3df9220f3a5a0a8402e76b6a612661"/>
      <w:r>
        <w:t xml:space="preserve">3.1 WEBS defines a continuous writer–eraser balance axis across GBM cell states</w:t>
      </w:r>
      <w:bookmarkEnd w:id="27"/>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8" w:name="_52d06ed05025b00b91c872a8cabf79e62e29211"/>
      <w:r>
        <w:t xml:space="preserve">3.2 The axis is regionally organized but decoupled from canonical hypoxia</w:t>
      </w:r>
      <w:bookmarkEnd w:id="28"/>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29" w:name="_bd7cc51ed7b51f7c5adaac2d3aac23b2b9f76ad"/>
      <w:r>
        <w:t xml:space="preserve">3.3 Trajectory analysis connects the low- and high-WEBS states</w:t>
      </w:r>
      <w:bookmarkEnd w:id="29"/>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0" w:name="_87411aa385f56a7c864ea14392e42fb46e81bc8"/>
      <w:r>
        <w:t xml:space="preserve">3.4 Proteome-wide spliceosome activation is post-transcriptional</w:t>
      </w:r>
      <w:bookmarkEnd w:id="30"/>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1" w:name="_54381bfd5e9bf2855a20cb4e2fa40d1f81fa0cb"/>
      <w:r>
        <w:t xml:space="preserve">3.5 Mechanistic evidence: splicing-factor acetylation couples to protein abundance</w:t>
      </w:r>
      <w:bookmarkEnd w:id="31"/>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2" w:name="_6d336fe4dd835fd428b1d9c79d8e7851d997115"/>
      <w:r>
        <w:t xml:space="preserve">3.6 Cross-omics latent factors confirm a shared axis</w:t>
      </w:r>
      <w:bookmarkEnd w:id="32"/>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3" w:name="_a5c781def785ce3ffbd336d847dd217af627871"/>
      <w:r>
        <w:t xml:space="preserve">3.7 Spatial organization</w:t>
      </w:r>
      <w:bookmarkEnd w:id="33"/>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4" w:name="_2f05c75c1e348dd0c05e8d5fb354d1ab4ef7a4b"/>
      <w:r>
        <w:t xml:space="preserve">3.8 A bootstrap-stable six-gene prognostic signature</w:t>
      </w:r>
      <w:bookmarkEnd w:id="34"/>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5" w:name="_e0bd96fdbbb99afb545d4d274d6cb4039aa1ae6"/>
      <w:r>
        <w:t xml:space="preserve">3.9 Therapeutic vulnerabilities</w:t>
      </w:r>
      <w:bookmarkEnd w:id="35"/>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6" w:name="_cc63151b0148b162d88cc0d0d937e2037a7ca15"/>
      <w:r>
        <w:t xml:space="preserve">3.10 Cell–cell communication</w:t>
      </w:r>
      <w:bookmarkEnd w:id="36"/>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7" w:name="_59282f70b8a5012d92e4c2f99c1ccc340d8f2dd"/>
      <w:r>
        <w:t xml:space="preserve">3.11 Method benchmarking and computational performance</w:t>
      </w:r>
      <w:bookmarkEnd w:id="37"/>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8" w:name="_4d3dcddec58d2d3b6c7de886f5a9b9aa841348d"/>
      <w:r>
        <w:t xml:space="preserve">3.12 Pan-cancer scope and boundaries</w:t>
      </w:r>
      <w:bookmarkEnd w:id="38"/>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39" w:name="_discussion"/>
      <w:r>
        <w:t xml:space="preserve">4. Discussion</w:t>
      </w:r>
      <w:bookmarkEnd w:id="39"/>
    </w:p>
    <w:p>
      <w:pPr>
        <w:pStyle w:val="Heading2"/>
      </w:pPr>
      <w:bookmarkStart w:id="40" w:name="_fdcfeef698e4bf9376142edd8aaea4c6ab5ae76"/>
      <w:r>
        <w:t xml:space="preserve">4.1 A mechanistic model: acetylation–ubiquitination competition</w:t>
      </w:r>
      <w:bookmarkEnd w:id="40"/>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1" w:name="_c3f26f81651dabdce693a86b0c2345779eb5ef2"/>
      <w:r>
        <w:t xml:space="preserve">4.2 Reconciling the field’s contradictions</w:t>
      </w:r>
      <w:bookmarkEnd w:id="41"/>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2" w:name="_b08a52d613f88f9ecd0740650faf9a5cdca952a"/>
      <w:r>
        <w:t xml:space="preserve">4.3 Therapeutic prioritization</w:t>
      </w:r>
      <w:bookmarkEnd w:id="42"/>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3" w:name="_9c31621846a552dbe1428aacb473f6e80dc401b"/>
      <w:r>
        <w:t xml:space="preserve">4.4 Experimental validation roadmap</w:t>
      </w:r>
      <w:bookmarkEnd w:id="43"/>
    </w:p>
    <w:p>
      <w:pPr>
        <w:pStyle w:val="Compact"/>
        <w:numPr>
          <w:ilvl w:val="0"/>
          <w:numId w:val="1001"/>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1"/>
        </w:numPr>
      </w:pPr>
      <w:r>
        <w:rPr>
          <w:b/>
          <w:bCs/>
        </w:rPr>
        <w:t xml:space="preserve">Acetylation rescue</w:t>
      </w:r>
      <w:r>
        <w:t xml:space="preserve">: mutate top-coupled lysines (PRPF40B, HNRNPA2B1) to arginine and measure protein half-life with/without vorinostat.</w:t>
      </w:r>
    </w:p>
    <w:p>
      <w:pPr>
        <w:pStyle w:val="Compact"/>
        <w:numPr>
          <w:ilvl w:val="0"/>
          <w:numId w:val="1001"/>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4" w:name="_limitations"/>
      <w:r>
        <w:t xml:space="preserve">4.5 Limitations</w:t>
      </w:r>
      <w:bookmarkEnd w:id="44"/>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5" w:name="_conclusion"/>
      <w:r>
        <w:t xml:space="preserve">5. Conclusion</w:t>
      </w:r>
      <w:bookmarkEnd w:id="45"/>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6" w:name="_funding"/>
      <w:r>
        <w:t xml:space="preserve">Funding</w:t>
      </w:r>
      <w:bookmarkEnd w:id="46"/>
    </w:p>
    <w:p>
      <w:pPr>
        <w:pStyle w:val="FirstParagraph"/>
      </w:pPr>
      <w:r>
        <w:t xml:space="preserve">No external funding was received for this study.</w:t>
      </w:r>
    </w:p>
    <w:p>
      <w:pPr>
        <w:pStyle w:val="Heading1"/>
      </w:pPr>
      <w:bookmarkStart w:id="47" w:name="_f7a979483a15594fcbaec69cf8d68e4bfd64b30"/>
      <w:r>
        <w:t xml:space="preserve">Author contributions</w:t>
      </w:r>
      <w:bookmarkEnd w:id="47"/>
    </w:p>
    <w:p>
      <w:pPr>
        <w:pStyle w:val="FirstParagraph"/>
      </w:pPr>
      <w:r>
        <w:t xml:space="preserve">JC designed the study, performed all analyses, and wrote the manuscript. JY, BY, TZ, and PZ contributed to validation and critical revision. All authors read and approved the final manuscript.</w:t>
      </w:r>
    </w:p>
    <w:p>
      <w:pPr>
        <w:pStyle w:val="Heading1"/>
      </w:pPr>
      <w:bookmarkStart w:id="48" w:name="_84dc18e74b75db6057c8c16a8f70e097972540a"/>
      <w:r>
        <w:t xml:space="preserve">Declaration of competing interest</w:t>
      </w:r>
      <w:bookmarkEnd w:id="48"/>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49" w:name="_ea5c66868f283220c19382d0fdd5a852ec570ca"/>
      <w:r>
        <w:t xml:space="preserve">Data availability</w:t>
      </w:r>
      <w:bookmarkEnd w:id="49"/>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0" w:name="_acknowledgments"/>
      <w:r>
        <w:t xml:space="preserve">Acknowledgments</w:t>
      </w:r>
      <w:bookmarkEnd w:id="50"/>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1" w:name="_references"/>
      <w:r>
        <w:t xml:space="preserve">References</w:t>
      </w:r>
      <w:bookmarkEnd w:id="51"/>
    </w:p>
    <w:p>
      <w:pPr>
        <w:pStyle w:val="Compact"/>
        <w:numPr>
          <w:ilvl w:val="0"/>
          <w:numId w:val="1002"/>
        </w:numPr>
      </w:pPr>
      <w:r>
        <w:t xml:space="preserve">Stupp R, Mason WP, van den Bent MJ, et al. Radiotherapy plus concomitant and adjuvant temozolomide for glioblastoma. N Engl J Med. 2005;352(10):987-996.</w:t>
      </w:r>
    </w:p>
    <w:p>
      <w:pPr>
        <w:pStyle w:val="Compact"/>
        <w:numPr>
          <w:ilvl w:val="0"/>
          <w:numId w:val="1002"/>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2"/>
        </w:numPr>
      </w:pPr>
      <w:r>
        <w:t xml:space="preserve">Neftel C, Laffy J, Filbin MG, et al. An integrative model of cellular states, plasticity, and genetics for glioblastoma. Cell. 2019;178(4):835-849.</w:t>
      </w:r>
    </w:p>
    <w:p>
      <w:pPr>
        <w:pStyle w:val="Compact"/>
        <w:numPr>
          <w:ilvl w:val="0"/>
          <w:numId w:val="1002"/>
        </w:numPr>
      </w:pPr>
      <w:r>
        <w:t xml:space="preserve">Wang J, Cazzato E, Ladewig E, et al. Clonal evolution of glioblastoma under therapy. Nat Genet. 2021;53(5):708-718.</w:t>
      </w:r>
    </w:p>
    <w:p>
      <w:pPr>
        <w:pStyle w:val="Compact"/>
        <w:numPr>
          <w:ilvl w:val="0"/>
          <w:numId w:val="1002"/>
        </w:numPr>
      </w:pPr>
      <w:r>
        <w:t xml:space="preserve">Zhang D, Tang Z, Huang H, et al. Metabolic regulation of gene expression by histone lactylation. Nature. 2019;574(7779):575-580.</w:t>
      </w:r>
    </w:p>
    <w:p>
      <w:pPr>
        <w:pStyle w:val="Compact"/>
        <w:numPr>
          <w:ilvl w:val="0"/>
          <w:numId w:val="1002"/>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2"/>
        </w:numPr>
      </w:pPr>
      <w:r>
        <w:t xml:space="preserve">Wang S, Huang T, Wu Q, et al. Lactate reprograms glioblastoma immunity through CBX3-regulated histone lactylation. J Clin Invest. 2024;134(22):e176851. doi:10.1172/JCI176851.</w:t>
      </w:r>
    </w:p>
    <w:p>
      <w:pPr>
        <w:pStyle w:val="Compact"/>
        <w:numPr>
          <w:ilvl w:val="0"/>
          <w:numId w:val="1002"/>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2"/>
        </w:numPr>
      </w:pPr>
      <w:r>
        <w:t xml:space="preserve">Yu J, Chai P, Xie M, et al. Histone lactylation drives oncogenesis by facilitating m6A reader protein YTHDF2 in papillary thyroid cancer. Nat Commun. 2021;12(1):5832.</w:t>
      </w:r>
    </w:p>
    <w:p>
      <w:pPr>
        <w:pStyle w:val="Compact"/>
        <w:numPr>
          <w:ilvl w:val="0"/>
          <w:numId w:val="1002"/>
        </w:numPr>
      </w:pPr>
      <w:r>
        <w:t xml:space="preserve">Wagner GR, Bhatt DP, O’Connell TM, et al. A class of reactive acyl-CoA species reveals the non-enzymatic origins of protein acylation. Cell Metab. 2017;25(4):823-837.</w:t>
      </w:r>
    </w:p>
    <w:p>
      <w:pPr>
        <w:pStyle w:val="Compact"/>
        <w:numPr>
          <w:ilvl w:val="0"/>
          <w:numId w:val="1002"/>
        </w:numPr>
      </w:pPr>
      <w:r>
        <w:t xml:space="preserve">Moreno-Yruela C, Zhang D, Wei W, et al. Class I histone deacetylases (HDAC1-3) are histone lysine delactylases. Sci Adv. 2022;8(3):eabi6696.</w:t>
      </w:r>
    </w:p>
    <w:p>
      <w:pPr>
        <w:pStyle w:val="Compact"/>
        <w:numPr>
          <w:ilvl w:val="0"/>
          <w:numId w:val="1002"/>
        </w:numPr>
      </w:pPr>
      <w:r>
        <w:t xml:space="preserve">Bao X, Liu Z, Zhang W, et al. Glucose-derived lysine lactylation is an endogenous inhibitor of histone deacetylases. Nat Struct Mol Biol. 2023;30(5):718-727.</w:t>
      </w:r>
    </w:p>
    <w:p>
      <w:pPr>
        <w:pStyle w:val="Compact"/>
        <w:numPr>
          <w:ilvl w:val="0"/>
          <w:numId w:val="1002"/>
        </w:numPr>
      </w:pPr>
      <w:r>
        <w:t xml:space="preserve">Zhou Z, Yin X, Sun H, et al. PTBP1 lactylation confers glioma stem cell maintenance through PFKFB4-driven glycolysis. Cancer Res. 2025;85(4):739-757. doi:10.1158/0008-5472.CAN-24-1412.</w:t>
      </w:r>
    </w:p>
    <w:p>
      <w:pPr>
        <w:pStyle w:val="Compact"/>
        <w:numPr>
          <w:ilvl w:val="0"/>
          <w:numId w:val="1002"/>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2"/>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2"/>
        </w:numPr>
      </w:pPr>
      <w:r>
        <w:t xml:space="preserve">Hao Y, Hao S, Andersen-Nissen E, et al. Integrated analysis of multimodal single-cell data. Cell. 2021;184(13):3573-3587.</w:t>
      </w:r>
    </w:p>
    <w:p>
      <w:pPr>
        <w:pStyle w:val="Compact"/>
        <w:numPr>
          <w:ilvl w:val="0"/>
          <w:numId w:val="1002"/>
        </w:numPr>
      </w:pPr>
      <w:r>
        <w:t xml:space="preserve">Jin S, Guerrero-Juarez CF, Zhang L, et al. Inference and analysis of cell-cell communication using CellChat. Nat Commun. 2021;12(1):1088.</w:t>
      </w:r>
    </w:p>
    <w:p>
      <w:pPr>
        <w:pStyle w:val="Compact"/>
        <w:numPr>
          <w:ilvl w:val="0"/>
          <w:numId w:val="1002"/>
        </w:numPr>
      </w:pPr>
      <w:r>
        <w:t xml:space="preserve">Browaeys R, Saelens W, Saeys Y. NicheNet: modeling intercellular communication by linking ligands to target genes. Nat Methods. 2020;17(2):159-162.</w:t>
      </w:r>
    </w:p>
    <w:p>
      <w:pPr>
        <w:pStyle w:val="Compact"/>
        <w:numPr>
          <w:ilvl w:val="0"/>
          <w:numId w:val="1002"/>
        </w:numPr>
      </w:pPr>
      <w:r>
        <w:t xml:space="preserve">Street K, Risso D, Fletcher RB, et al. Slingshot: cell lineage and pseudotime inference for single-cell transcriptomics. BMC Genomics. 2018;19(1):477.</w:t>
      </w:r>
    </w:p>
    <w:p>
      <w:pPr>
        <w:pStyle w:val="Compact"/>
        <w:numPr>
          <w:ilvl w:val="0"/>
          <w:numId w:val="1002"/>
        </w:numPr>
      </w:pPr>
      <w:r>
        <w:t xml:space="preserve">Cable DM, Murray E, Zou LS, et al. Robust decomposition of cell type mixtures in spatial transcriptomics. Nat Biotechnol. 2022;40(4):517-526.</w:t>
      </w:r>
    </w:p>
    <w:p>
      <w:pPr>
        <w:pStyle w:val="Compact"/>
        <w:numPr>
          <w:ilvl w:val="0"/>
          <w:numId w:val="1002"/>
        </w:numPr>
      </w:pPr>
      <w:r>
        <w:t xml:space="preserve">Stuart T, Srivastava A, Madad S, et al. Single-cell chromatin state analysis with Signac. Nat Methods. 2021;18(11):1333-1341.</w:t>
      </w:r>
    </w:p>
    <w:p>
      <w:pPr>
        <w:pStyle w:val="Compact"/>
        <w:numPr>
          <w:ilvl w:val="0"/>
          <w:numId w:val="1002"/>
        </w:numPr>
      </w:pPr>
      <w:r>
        <w:t xml:space="preserve">Tibshirani R. Regression shrinkage and selection via the lasso. J R Stat Soc Series B Stat Methodol. 1996;58(1):267-288.</w:t>
      </w:r>
    </w:p>
    <w:p>
      <w:pPr>
        <w:pStyle w:val="Compact"/>
        <w:numPr>
          <w:ilvl w:val="0"/>
          <w:numId w:val="1002"/>
        </w:numPr>
      </w:pPr>
      <w:r>
        <w:t xml:space="preserve">Harrell FE Jr. Regression Modeling Strategies: With Applications to Linear Models, Logistic and Ordinal Regression, and Survival Analysis. 2nd ed. New York: Springer; 2015.</w:t>
      </w:r>
    </w:p>
    <w:p>
      <w:pPr>
        <w:pStyle w:val="Compact"/>
        <w:numPr>
          <w:ilvl w:val="0"/>
          <w:numId w:val="1002"/>
        </w:numPr>
      </w:pPr>
      <w:r>
        <w:t xml:space="preserve">Vickers AJ, Elkin EB. Decision curve analysis: a novel method for evaluating prediction models. Med Decis Making. 2006;26(6):565-574.</w:t>
      </w:r>
    </w:p>
    <w:p>
      <w:pPr>
        <w:pStyle w:val="Compact"/>
        <w:numPr>
          <w:ilvl w:val="0"/>
          <w:numId w:val="1002"/>
        </w:numPr>
      </w:pPr>
      <w:r>
        <w:t xml:space="preserve">Hemani G, Zheng J, Elsworth B, et al. The MR-Base platform supports systematic causal inference across the human phenome. eLife. 2018;7:e34408.</w:t>
      </w:r>
    </w:p>
    <w:p>
      <w:pPr>
        <w:pStyle w:val="Compact"/>
        <w:numPr>
          <w:ilvl w:val="0"/>
          <w:numId w:val="1002"/>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2"/>
        </w:numPr>
      </w:pPr>
      <w:r>
        <w:t xml:space="preserve">Clark DJ, Dhanasekaran SM, Petralia F, et al. Integrated proteogenomic characterization of glioblastoma. Cell. 2021;184(8):2188-2204.</w:t>
      </w:r>
    </w:p>
    <w:p>
      <w:pPr>
        <w:pStyle w:val="Compact"/>
        <w:numPr>
          <w:ilvl w:val="0"/>
          <w:numId w:val="1002"/>
        </w:numPr>
      </w:pPr>
      <w:r>
        <w:t xml:space="preserve">Tsherniak A, Vazquez F, Montgomery PG, et al. Defining a cancer dependency map. Cell. 2017;170(3):564-576.</w:t>
      </w:r>
    </w:p>
    <w:p>
      <w:pPr>
        <w:pStyle w:val="Compact"/>
        <w:numPr>
          <w:ilvl w:val="0"/>
          <w:numId w:val="1002"/>
        </w:numPr>
      </w:pPr>
      <w:r>
        <w:t xml:space="preserve">Iorio F, Knijnenburg TA, Vis DJ, et al. A landscape of pharmacogenomic interactions in cancer. Cell. 2016;166(3):740-754.</w:t>
      </w:r>
    </w:p>
    <w:p>
      <w:pPr>
        <w:pStyle w:val="Compact"/>
        <w:numPr>
          <w:ilvl w:val="0"/>
          <w:numId w:val="1002"/>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2"/>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2"/>
        </w:numPr>
      </w:pPr>
      <w:r>
        <w:t xml:space="preserve">Zhu H, Li G, Li T, et al. Prognostic and therapeutic response prediction in glioblastoma multiforme using a lactylation-associated gene signature. Discov Oncol. 2025;16:2313.</w:t>
      </w:r>
    </w:p>
    <w:p>
      <w:pPr>
        <w:pStyle w:val="Compact"/>
        <w:numPr>
          <w:ilvl w:val="0"/>
          <w:numId w:val="1002"/>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2"/>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2"/>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2"/>
        </w:numPr>
      </w:pPr>
      <w:r>
        <w:t xml:space="preserve">Bradley RK, Anczuków O. RNA splicing dysregulation and the hallmarks of cancer. Nat Rev Cancer. 2023;23(3):135-155.</w:t>
      </w:r>
    </w:p>
    <w:p>
      <w:pPr>
        <w:pStyle w:val="Compact"/>
        <w:numPr>
          <w:ilvl w:val="0"/>
          <w:numId w:val="1002"/>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2"/>
        </w:numPr>
      </w:pPr>
      <w:r>
        <w:t xml:space="preserve">Nguyen JQN, Drabarek W, Leeflang AMCHJ, et al. The impact of spliceosome inhibition in SF3B1-mutated uveal melanoma. Invest Ophthalmol Vis Sci. 2024;65(12):37.</w:t>
      </w:r>
    </w:p>
    <w:p>
      <w:pPr>
        <w:pStyle w:val="Compact"/>
        <w:numPr>
          <w:ilvl w:val="0"/>
          <w:numId w:val="1002"/>
        </w:numPr>
      </w:pPr>
      <w:r>
        <w:t xml:space="preserve">Biswas J, Boussi L, Stein E, et al. Aberrant pre-mRNA processing in cancer. J Exp Med. 2024;221(11):e20240055.</w:t>
      </w:r>
    </w:p>
    <w:p>
      <w:pPr>
        <w:pStyle w:val="Compact"/>
        <w:numPr>
          <w:ilvl w:val="0"/>
          <w:numId w:val="1002"/>
        </w:numPr>
      </w:pPr>
      <w:r>
        <w:t xml:space="preserve">Shukri AH, et al. Unraveling the battle for lysine: a review of the competition among post-translational modifications. Biochim Biophys Acta Gene Regul Mech. 2023;1866(4):194990.</w:t>
      </w:r>
    </w:p>
    <w:p>
      <w:pPr>
        <w:pStyle w:val="Heading1"/>
      </w:pPr>
      <w:bookmarkStart w:id="52" w:name="_75cb7b9576aaaaf1ce145bf5cbbb5cf2ece5db8"/>
      <w:r>
        <w:t xml:space="preserve">Figure Legends</w:t>
      </w:r>
      <w:bookmarkEnd w:id="52"/>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3" w:name="_tables"/>
      <w:r>
        <w:t xml:space="preserve">Tables</w:t>
      </w:r>
      <w:bookmarkEnd w:id="53"/>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4" w:name="_figures"/>
      <w:r>
        <w:t xml:space="preserve">Figures</w:t>
      </w:r>
      <w:bookmarkEnd w:id="54"/>
    </w:p>
    <w:p>
      <w:r>
        <w:br w:type="page"/>
      </w:r>
    </w:p>
    <w:p>
      <w:pPr>
        <w:pStyle w:val="CaptionedFigure"/>
      </w:pPr>
      <w:r>
        <w:drawing>
          <wp:inline>
            <wp:extent cx="5334000" cy="4588344"/>
            <wp:effectExtent b="0" l="0" r="0" t="0"/>
            <wp:docPr descr="Figure 1" title="" id="56" name="Picture"/>
            <a:graphic>
              <a:graphicData uri="http://schemas.openxmlformats.org/drawingml/2006/picture">
                <pic:pic>
                  <pic:nvPicPr>
                    <pic:cNvPr descr="submission/Figures/jpg/Figure_1.jpg" id="57" name="Picture"/>
                    <pic:cNvPicPr>
                      <a:picLocks noChangeArrowheads="1" noChangeAspect="1"/>
                    </pic:cNvPicPr>
                  </pic:nvPicPr>
                  <pic:blipFill>
                    <a:blip r:embed="rId55"/>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59" name="Picture"/>
            <a:graphic>
              <a:graphicData uri="http://schemas.openxmlformats.org/drawingml/2006/picture">
                <pic:pic>
                  <pic:nvPicPr>
                    <pic:cNvPr descr="submission/Figures/jpg/Figure_2.jpg" id="60" name="Picture"/>
                    <pic:cNvPicPr>
                      <a:picLocks noChangeArrowheads="1" noChangeAspect="1"/>
                    </pic:cNvPicPr>
                  </pic:nvPicPr>
                  <pic:blipFill>
                    <a:blip r:embed="rId58"/>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2" name="Picture"/>
            <a:graphic>
              <a:graphicData uri="http://schemas.openxmlformats.org/drawingml/2006/picture">
                <pic:pic>
                  <pic:nvPicPr>
                    <pic:cNvPr descr="submission/Figures/jpg/Figure_3.jpg" id="63" name="Picture"/>
                    <pic:cNvPicPr>
                      <a:picLocks noChangeArrowheads="1" noChangeAspect="1"/>
                    </pic:cNvPicPr>
                  </pic:nvPicPr>
                  <pic:blipFill>
                    <a:blip r:embed="rId61"/>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5" name="Picture"/>
            <a:graphic>
              <a:graphicData uri="http://schemas.openxmlformats.org/drawingml/2006/picture">
                <pic:pic>
                  <pic:nvPicPr>
                    <pic:cNvPr descr="submission/Figures/jpg/Figure_4.jpg" id="66" name="Picture"/>
                    <pic:cNvPicPr>
                      <a:picLocks noChangeArrowheads="1" noChangeAspect="1"/>
                    </pic:cNvPicPr>
                  </pic:nvPicPr>
                  <pic:blipFill>
                    <a:blip r:embed="rId6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8" name="Picture"/>
            <a:graphic>
              <a:graphicData uri="http://schemas.openxmlformats.org/drawingml/2006/picture">
                <pic:pic>
                  <pic:nvPicPr>
                    <pic:cNvPr descr="submission/Figures/jpg/Figure_5.jpg" id="69" name="Picture"/>
                    <pic:cNvPicPr>
                      <a:picLocks noChangeArrowheads="1" noChangeAspect="1"/>
                    </pic:cNvPicPr>
                  </pic:nvPicPr>
                  <pic:blipFill>
                    <a:blip r:embed="rId67"/>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1" name="Picture"/>
            <a:graphic>
              <a:graphicData uri="http://schemas.openxmlformats.org/drawingml/2006/picture">
                <pic:pic>
                  <pic:nvPicPr>
                    <pic:cNvPr descr="submission/Figures/jpg/Figure_6.jpg" id="72" name="Picture"/>
                    <pic:cNvPicPr>
                      <a:picLocks noChangeArrowheads="1" noChangeAspect="1"/>
                    </pic:cNvPicPr>
                  </pic:nvPicPr>
                  <pic:blipFill>
                    <a:blip r:embed="rId70"/>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4" name="Picture"/>
            <a:graphic>
              <a:graphicData uri="http://schemas.openxmlformats.org/drawingml/2006/picture">
                <pic:pic>
                  <pic:nvPicPr>
                    <pic:cNvPr descr="submission/Figures/jpg/Figure_7.jpg" id="75" name="Picture"/>
                    <pic:cNvPicPr>
                      <a:picLocks noChangeArrowheads="1" noChangeAspect="1"/>
                    </pic:cNvPicPr>
                  </pic:nvPicPr>
                  <pic:blipFill>
                    <a:blip r:embed="rId73"/>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7" name="Picture"/>
            <a:graphic>
              <a:graphicData uri="http://schemas.openxmlformats.org/drawingml/2006/picture">
                <pic:pic>
                  <pic:nvPicPr>
                    <pic:cNvPr descr="submission/Figures/jpg/Figure_8.jpg" id="78" name="Picture"/>
                    <pic:cNvPicPr>
                      <a:picLocks noChangeArrowheads="1" noChangeAspect="1"/>
                    </pic:cNvPicPr>
                  </pic:nvPicPr>
                  <pic:blipFill>
                    <a:blip r:embed="rId7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0" name="Picture"/>
            <a:graphic>
              <a:graphicData uri="http://schemas.openxmlformats.org/drawingml/2006/picture">
                <pic:pic>
                  <pic:nvPicPr>
                    <pic:cNvPr descr="submission/Figures/jpg/Figure_9.jp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3" name="Picture"/>
            <a:graphic>
              <a:graphicData uri="http://schemas.openxmlformats.org/drawingml/2006/picture">
                <pic:pic>
                  <pic:nvPicPr>
                    <pic:cNvPr descr="submission/Figures/jpg/Figure_10.jpg" id="84" name="Picture"/>
                    <pic:cNvPicPr>
                      <a:picLocks noChangeArrowheads="1" noChangeAspect="1"/>
                    </pic:cNvPicPr>
                  </pic:nvPicPr>
                  <pic:blipFill>
                    <a:blip r:embed="rId82"/>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6" name="Picture"/>
            <a:graphic>
              <a:graphicData uri="http://schemas.openxmlformats.org/drawingml/2006/picture">
                <pic:pic>
                  <pic:nvPicPr>
                    <pic:cNvPr descr="submission/Figures/jpg/Figure_11.jpg" id="87" name="Picture"/>
                    <pic:cNvPicPr>
                      <a:picLocks noChangeArrowheads="1" noChangeAspect="1"/>
                    </pic:cNvPicPr>
                  </pic:nvPicPr>
                  <pic:blipFill>
                    <a:blip r:embed="rId85"/>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89" name="Picture"/>
            <a:graphic>
              <a:graphicData uri="http://schemas.openxmlformats.org/drawingml/2006/picture">
                <pic:pic>
                  <pic:nvPicPr>
                    <pic:cNvPr descr="submission/Figures/jpg/Figure_12.jpg" id="90" name="Picture"/>
                    <pic:cNvPicPr>
                      <a:picLocks noChangeArrowheads="1" noChangeAspect="1"/>
                    </pic:cNvPicPr>
                  </pic:nvPicPr>
                  <pic:blipFill>
                    <a:blip r:embed="rId88"/>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2026-11-01T00:47:39Z</dcterms:created>
  <dcterms:modified xsi:type="dcterms:W3CDTF">2026-11-01T00:47:39Z</dcterms:modified>
</cp:coreProperties>
</file>

<file path=docProps/custom.xml><?xml version="1.0" encoding="utf-8"?>
<Properties xmlns="http://schemas.openxmlformats.org/officeDocument/2006/custom-properties" xmlns:vt="http://schemas.openxmlformats.org/officeDocument/2006/docPropsVTypes"/>
</file>