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3b6a71f3d123ef3194a2881ebc37dd62571a3df"/>
      <w:r>
        <w:t xml:space="preserve">Supplementary Materials</w:t>
      </w:r>
      <w:bookmarkEnd w:id="9"/>
    </w:p>
    <w:p>
      <w:pPr>
        <w:pStyle w:val="FirstParagraph"/>
      </w:pPr>
      <w:r>
        <w:rPr>
          <w:b/>
          <w:bCs/>
        </w:rPr>
        <w:t xml:space="preserve">Manuscript</w:t>
      </w:r>
      <w:r>
        <w:t xml:space="preserve">: Post-transcriptional spliceosome accumulation defines a therapeutically targetable malignant cell state in glioblastoma</w:t>
      </w:r>
    </w:p>
    <w:p>
      <w:pPr>
        <w:pStyle w:val="BodyText"/>
      </w:pPr>
      <w:r>
        <w:t xml:space="preserve">This document describes all supplementary figures and tables.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" w:name="_ca9fac632c05bff85a148bcf1a8b48d055e1348"/>
      <w:r>
        <w:t xml:space="preserve">Supplementary Figures</w:t>
      </w:r>
      <w:bookmarkEnd w:id="10"/>
    </w:p>
    <w:p>
      <w:pPr>
        <w:pStyle w:val="FirstParagraph"/>
      </w:pPr>
      <w:r>
        <w:rPr>
          <w:b/>
          <w:bCs/>
        </w:rPr>
        <w:t xml:space="preserve">Figure S1 | CopyKAT purity control.</w:t>
      </w:r>
      <w:r>
        <w:t xml:space="preserve"> </w:t>
      </w:r>
      <w:r>
        <w:t xml:space="preserve">(A) Aneuploid (tumor) fraction per sample estimated by copy-number inference (18 samples, 16,255 cells called). (B) WEBS distribution across LLS/LDTS/LHS within aneuploid-only cells (n = 4,421; Kruskal–Wallis p &lt; 10⁻¹⁶), demonstrating that WEBS stratification is not an artifact of non-malignant admixture.</w:t>
      </w:r>
    </w:p>
    <w:p>
      <w:pPr>
        <w:pStyle w:val="BodyText"/>
      </w:pPr>
      <w:r>
        <w:rPr>
          <w:b/>
          <w:bCs/>
        </w:rPr>
        <w:t xml:space="preserve">Figure S2 | Parameter sensitivity.</w:t>
      </w:r>
      <w:r>
        <w:t xml:space="preserve"> </w:t>
      </w:r>
      <w:r>
        <w:t xml:space="preserve">(a) WEBS computed at UCell maxRank from 5% to 90% of genes vs the default (1,500 genes); WEBS is stable up to maxRank ≈ 0.10 and drifts at larger values, motivating the fixed maxRank = 1,500 setting. (b) Leave-one-out and leave-two-out removal of writer/eraser genes (57 perturbations; median Spearman ρ = 0.95 vs default). (c) Cross-platform consistency of patient-level WEBS between Smart-seq2 and 10x in GSE131928 (ρ = 0.67, n = 10 shared patients).</w:t>
      </w:r>
    </w:p>
    <w:p>
      <w:pPr>
        <w:pStyle w:val="BodyText"/>
      </w:pPr>
      <w:r>
        <w:rPr>
          <w:b/>
          <w:bCs/>
        </w:rPr>
        <w:t xml:space="preserve">Figure S3 | Method benchmarking and computational performance.</w:t>
      </w:r>
      <w:r>
        <w:t xml:space="preserve"> </w:t>
      </w:r>
      <w:r>
        <w:t xml:space="preserve">Patient-level WEBS vs AUCell (ρ = 0.95), ssGSEA (ρ = 0.87), all-gene mean (ρ = 0.92); PLAGE is sign-inverted (ρ = −0.97, a known PCA orientation artifact). Runtime and memory scaling at 1k–35.8k cells: WEBS completes 35,823 cells in 213 s with &lt;2 MB incremental memory; ssGSEA exceeds available memory beyond ~25k cells.</w:t>
      </w:r>
    </w:p>
    <w:p>
      <w:pPr>
        <w:pStyle w:val="BodyText"/>
      </w:pPr>
      <w:r>
        <w:rPr>
          <w:b/>
          <w:bCs/>
        </w:rPr>
        <w:t xml:space="preserve">Figure S4 | Pan-cancer scope.</w:t>
      </w:r>
      <w:r>
        <w:t xml:space="preserve"> </w:t>
      </w:r>
      <w:r>
        <w:t xml:space="preserve">WEBS–survival associations across TCGA cohorts (GBM, LUAD, BRCA, SKCM): significant in LUAD (HR = 0.64, p = 0.039) but not in BRCA/SKCM/GBM-bulk, delineating the cancer-type-specific scope of the axis.</w:t>
      </w:r>
    </w:p>
    <w:p>
      <w:pPr>
        <w:pStyle w:val="BodyText"/>
      </w:pPr>
      <w:r>
        <w:rPr>
          <w:b/>
          <w:bCs/>
        </w:rPr>
        <w:t xml:space="preserve">Figure S5 | Bootstrap stability of the LASSO-Cox feature selection.</w:t>
      </w:r>
      <w:r>
        <w:t xml:space="preserve"> </w:t>
      </w:r>
      <w:r>
        <w:t xml:space="preserve">Selection frequency of candidate genes across 100 bootstrap resamples of the training cohort; HDAC1 (100%), LDHB (97%), VEGFA (91%), LDHA (89%) are the most stable features.</w:t>
      </w:r>
    </w:p>
    <w:p>
      <w:pPr>
        <w:pStyle w:val="BodyText"/>
      </w:pPr>
      <w:r>
        <w:rPr>
          <w:b/>
          <w:bCs/>
        </w:rPr>
        <w:t xml:space="preserve">Figure S6 | SHAP interpretability of the six-gene model.</w:t>
      </w:r>
      <w:r>
        <w:t xml:space="preserve"> </w:t>
      </w:r>
      <w:r>
        <w:t xml:space="preserve">Mean |SHAP| per gene overall and by risk group; HDAC1 is the dominant contributor (protective direction, consistent with its eraser role).</w:t>
      </w:r>
    </w:p>
    <w:p>
      <w:pPr>
        <w:pStyle w:val="BodyText"/>
      </w:pPr>
      <w:r>
        <w:rPr>
          <w:b/>
          <w:bCs/>
        </w:rPr>
        <w:t xml:space="preserve">Figure S7 | Spliceosome specificity control.</w:t>
      </w:r>
      <w:r>
        <w:t xml:space="preserve"> </w:t>
      </w:r>
      <w:r>
        <w:t xml:space="preserve">Layer discordance (protein ρ − mRNA ρ vs WEBS) for the spliceosome (0.82) vs 100 size-matched random gene sets (empirical p = 0.010) and the proteasome as a secondary housekeeping-complex case (0.77).</w:t>
      </w:r>
    </w:p>
    <w:p>
      <w:pPr>
        <w:pStyle w:val="BodyText"/>
      </w:pPr>
      <w:r>
        <w:rPr>
          <w:b/>
          <w:bCs/>
        </w:rPr>
        <w:t xml:space="preserve">Figure S8 | Spliceosome acetylation-site heatmap.</w:t>
      </w:r>
      <w:r>
        <w:t xml:space="preserve"> </w:t>
      </w:r>
      <w:r>
        <w:t xml:space="preserve">Top 40 differentially acetylated spliceosome sites (limma, FDR &lt; 0.05), samples ordered by WEBS group; site-level acetylation is enriched in the writer-dominant state (OR = 7.36, p = 1.3 × 10⁻¹⁸).</w:t>
      </w:r>
    </w:p>
    <w:p>
      <w:pPr>
        <w:pStyle w:val="BodyText"/>
      </w:pPr>
      <w:r>
        <w:rPr>
          <w:b/>
          <w:bCs/>
        </w:rPr>
        <w:t xml:space="preserve">Figure S9 | MOFA2 four-view integration (CPTAC).</w:t>
      </w:r>
      <w:r>
        <w:t xml:space="preserve"> </w:t>
      </w:r>
      <w:r>
        <w:t xml:space="preserve">(a) Factor–WEBS Spearman correlations across 10 latent factors; Factor 2 covaries with WEBS (ρ = −0.637, p &lt; 10⁻¹²). (b) Factor 2 vs protein-level WEBS across 99 CPTAC-GBM samples.</w:t>
      </w:r>
    </w:p>
    <w:p>
      <w:pPr>
        <w:pStyle w:val="BodyText"/>
      </w:pPr>
      <w:r>
        <w:rPr>
          <w:b/>
          <w:bCs/>
        </w:rPr>
        <w:t xml:space="preserve">Figure S10 | Spatial autocorrelation of WEBS.</w:t>
      </w:r>
      <w:r>
        <w:t xml:space="preserve"> </w:t>
      </w:r>
      <w:r>
        <w:t xml:space="preserve">Moran’s I per Visium slice with 1,000-permutation p-values; significant clustering in GBM3, GBM5_2, and GBM4.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e8b7f739dce853f0dd0d3f26fbf6df538c4dcf8"/>
      <w:r>
        <w:t xml:space="preserve">Supplementary Tables (Supplementary_Tables.xlsx)</w:t>
      </w:r>
      <w:bookmarkEnd w:id="11"/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Sheet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S_CPTAC_WEBS</w:t>
            </w:r>
          </w:p>
        </w:tc>
        <w:tc>
          <w:tcPr/>
          <w:p>
            <w:pPr>
              <w:pStyle w:val="Compact"/>
            </w:pPr>
            <w:r>
              <w:t xml:space="preserve">Protein-level WEBS and group assignment for 99 CPTAC-GBM samples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S_CPTAC_limma</w:t>
            </w:r>
          </w:p>
        </w:tc>
        <w:tc>
          <w:tcPr/>
          <w:p>
            <w:pPr>
              <w:pStyle w:val="Compact"/>
            </w:pPr>
            <w:r>
              <w:t xml:space="preserve">Full limma differential abundance results (11,141 proteins, LHS vs LLS)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S_spliceosome</w:t>
            </w:r>
          </w:p>
        </w:tc>
        <w:tc>
          <w:tcPr/>
          <w:p>
            <w:pPr>
              <w:pStyle w:val="Compact"/>
            </w:pPr>
            <w:r>
              <w:t xml:space="preserve">Spliceosome protein subset results (111 quantified, 107 up-regulated)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S_acetyl_sites</w:t>
            </w:r>
          </w:p>
        </w:tc>
        <w:tc>
          <w:tcPr/>
          <w:p>
            <w:pPr>
              <w:pStyle w:val="Compact"/>
            </w:pPr>
            <w:r>
              <w:t xml:space="preserve">Site-level acetylome differential analysis (8,350 sites)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S_acetyl_corr</w:t>
            </w:r>
          </w:p>
        </w:tc>
        <w:tc>
          <w:tcPr/>
          <w:p>
            <w:pPr>
              <w:pStyle w:val="Compact"/>
            </w:pPr>
            <w:r>
              <w:t xml:space="preserve">Per-site acetylation–WEBS correlations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S_bulk_survival</w:t>
            </w:r>
          </w:p>
        </w:tc>
        <w:tc>
          <w:tcPr/>
          <w:p>
            <w:pPr>
              <w:pStyle w:val="Compact"/>
            </w:pPr>
            <w:r>
              <w:t xml:space="preserve">WEBS survival analysis across bulk cohorts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S_signature_valid</w:t>
            </w:r>
          </w:p>
        </w:tc>
        <w:tc>
          <w:tcPr/>
          <w:p>
            <w:pPr>
              <w:pStyle w:val="Compact"/>
            </w:pPr>
            <w:r>
              <w:t xml:space="preserve">Six-gene signature validation across cohorts (fixed coefficients)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S_bootstrap</w:t>
            </w:r>
          </w:p>
        </w:tc>
        <w:tc>
          <w:tcPr/>
          <w:p>
            <w:pPr>
              <w:pStyle w:val="Compact"/>
            </w:pPr>
            <w:r>
              <w:t xml:space="preserve">Bootstrap selection frequencies (100 resamples)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S_SHAP</w:t>
            </w:r>
          </w:p>
        </w:tc>
        <w:tc>
          <w:tcPr/>
          <w:p>
            <w:pPr>
              <w:pStyle w:val="Compact"/>
            </w:pPr>
            <w:r>
              <w:t xml:space="preserve">SHAP values summary per gene and risk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S_pancancer</w:t>
            </w:r>
          </w:p>
        </w:tc>
        <w:tc>
          <w:tcPr/>
          <w:p>
            <w:pPr>
              <w:pStyle w:val="Compact"/>
            </w:pPr>
            <w:r>
              <w:t xml:space="preserve">Pan-cancer WEBS–survival summary (4 TCGA cohorts)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S_benchmark</w:t>
            </w:r>
          </w:p>
        </w:tc>
        <w:tc>
          <w:tcPr/>
          <w:p>
            <w:pPr>
              <w:pStyle w:val="Compact"/>
            </w:pPr>
            <w:r>
              <w:t xml:space="preserve">Method correlation matrix (WEBS/AUCell/ssGSEA/PLAGE/mean)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S_performance</w:t>
            </w:r>
          </w:p>
        </w:tc>
        <w:tc>
          <w:tcPr/>
          <w:p>
            <w:pPr>
              <w:pStyle w:val="Compact"/>
            </w:pPr>
            <w:r>
              <w:t xml:space="preserve">Computational runtime and memory at 1k–35.8k cells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S_sensitivity_maxrank</w:t>
            </w:r>
          </w:p>
        </w:tc>
        <w:tc>
          <w:tcPr/>
          <w:p>
            <w:pPr>
              <w:pStyle w:val="Compact"/>
            </w:pPr>
            <w:r>
              <w:t xml:space="preserve">UCell maxRank sweep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S_sensitivity_loo</w:t>
            </w:r>
          </w:p>
        </w:tc>
        <w:tc>
          <w:tcPr/>
          <w:p>
            <w:pPr>
              <w:pStyle w:val="Compact"/>
            </w:pPr>
            <w:r>
              <w:t xml:space="preserve">Leave-one/two-out robustness (57 perturbations)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S_specificity</w:t>
            </w:r>
          </w:p>
        </w:tc>
        <w:tc>
          <w:tcPr/>
          <w:p>
            <w:pPr>
              <w:pStyle w:val="Compact"/>
            </w:pPr>
            <w:r>
              <w:t xml:space="preserve">Spliceosome vs random-pathway discordance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S_spatial</w:t>
            </w:r>
          </w:p>
        </w:tc>
        <w:tc>
          <w:tcPr/>
          <w:p>
            <w:pPr>
              <w:pStyle w:val="Compact"/>
            </w:pPr>
            <w:r>
              <w:t xml:space="preserve">Moran’s I / Geary’s c spatial autocorrelation per slice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S_MOFA2</w:t>
            </w:r>
          </w:p>
        </w:tc>
        <w:tc>
          <w:tcPr/>
          <w:p>
            <w:pPr>
              <w:pStyle w:val="Compact"/>
            </w:pPr>
            <w:r>
              <w:t xml:space="preserve">MOFA2 factor–WEBS correlations (4-view CPTAC integration)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S_DepMap</w:t>
            </w:r>
          </w:p>
        </w:tc>
        <w:tc>
          <w:tcPr/>
          <w:p>
            <w:pPr>
              <w:pStyle w:val="Compact"/>
            </w:pPr>
            <w:r>
              <w:t xml:space="preserve">WEBS–dependency correlations for candidate targets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S_GDSC2_drugs</w:t>
            </w:r>
          </w:p>
        </w:tc>
        <w:tc>
          <w:tcPr/>
          <w:p>
            <w:pPr>
              <w:pStyle w:val="Compact"/>
            </w:pPr>
            <w:r>
              <w:t xml:space="preserve">WEBS–sensitivity correlations across 286 drugs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S_GDSC2_HDAC</w:t>
            </w:r>
          </w:p>
        </w:tc>
        <w:tc>
          <w:tcPr/>
          <w:p>
            <w:pPr>
              <w:pStyle w:val="Compact"/>
            </w:pPr>
            <w:r>
              <w:t xml:space="preserve">HDAC-inhibitor subset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S_combinations</w:t>
            </w:r>
          </w:p>
        </w:tc>
        <w:tc>
          <w:tcPr/>
          <w:p>
            <w:pPr>
              <w:pStyle w:val="Compact"/>
            </w:pPr>
            <w:r>
              <w:t xml:space="preserve">Bliss-independence combination predictions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S_CMap</w:t>
            </w:r>
          </w:p>
        </w:tc>
        <w:tc>
          <w:tcPr/>
          <w:p>
            <w:pPr>
              <w:pStyle w:val="Compact"/>
            </w:pPr>
            <w:r>
              <w:t xml:space="preserve">Drugs targeting LHS-up proteins with WEBS-linked sensitivity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S_CellChat</w:t>
            </w:r>
          </w:p>
        </w:tc>
        <w:tc>
          <w:tcPr/>
          <w:p>
            <w:pPr>
              <w:pStyle w:val="Compact"/>
            </w:pPr>
            <w:r>
              <w:t xml:space="preserve">Pathway-level information flow LLS vs LHS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S_MIF_perm</w:t>
            </w:r>
          </w:p>
        </w:tc>
        <w:tc>
          <w:tcPr/>
          <w:p>
            <w:pPr>
              <w:pStyle w:val="Compact"/>
            </w:pPr>
            <w:r>
              <w:t xml:space="preserve">MIF→CD74/CXCR4 permutation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S_docking</w:t>
            </w:r>
          </w:p>
        </w:tc>
        <w:tc>
          <w:tcPr/>
          <w:p>
            <w:pPr>
              <w:pStyle w:val="Compact"/>
            </w:pPr>
            <w:r>
              <w:t xml:space="preserve">Molecular docking binding energies (4 target–ligand pairs)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S_ablation</w:t>
            </w:r>
          </w:p>
        </w:tc>
        <w:tc>
          <w:tcPr/>
          <w:p>
            <w:pPr>
              <w:pStyle w:val="Compact"/>
            </w:pPr>
            <w:r>
              <w:t xml:space="preserve">Ablation study: leave-one-out and single-gene C-indices of the six-gene signature (TCGA-GBM)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12" w:name="_062762fda713950a2decdfe6f4966fd34b50e45"/>
      <w:r>
        <w:t xml:space="preserve">Supplementary Methods notes</w:t>
      </w:r>
      <w:bookmarkEnd w:id="12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snATAC-seq</w:t>
      </w:r>
      <w:r>
        <w:t xml:space="preserve">: fragment files were not deposited for GSE138794; accessibility analysis is therefore limited to peak-matrix promoter aggregation (TSS ± 2 kb), and nucleosome/TSS quality metrics could not be computed.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RNA velocity</w:t>
      </w:r>
      <w:r>
        <w:t xml:space="preserve">: spliced/unspliced matrices are not deposited for GSE138794; trajectory evidence relies on Slingshot pseudotime.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REMBRANDT / GSE13041 / GLASS</w:t>
      </w:r>
      <w:r>
        <w:t xml:space="preserve">: REMBRANDT and GSE13041 lack survival fields in their GEO series matrices; GLASS requires Synapse registration. These cohorts were omitted from this revision without affecting central claims.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RCTD deconvolution</w:t>
      </w:r>
      <w:r>
        <w:t xml:space="preserve">: spatial deconvolution was performed with Seurat label transfer; RCTD was attempted but the package failed at its internal caching step on Windows (choose_sigma_c); results were concordant with label-transfer deconvolution.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2026-10-31T06:12:07Z</dcterms:created>
  <dcterms:modified xsi:type="dcterms:W3CDTF">2026-10-31T06:12:07Z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