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GSE138794</w:t>
            </w:r>
          </w:p>
        </w:tc>
        <w:tc>
          <w:tcPr/>
          <w:p>
            <w:pPr>
              <w:pStyle w:val="Compact"/>
            </w:pPr>
            <w:r>
              <w:t xml:space="preserve">10x scRNA-seq</w:t>
            </w:r>
          </w:p>
        </w:tc>
        <w:tc>
          <w:tcPr/>
          <w:p>
            <w:pPr>
              <w:pStyle w:val="Compact"/>
            </w:pPr>
            <w:r>
              <w:t xml:space="preserve">35,823 cells / 20 samples / 17 patients</w:t>
            </w:r>
          </w:p>
        </w:tc>
        <w:tc>
          <w:tcPr/>
          <w:p>
            <w:pPr>
              <w:pStyle w:val="Compact"/>
            </w:pPr>
            <w:r>
              <w:t xml:space="preserve">Discovery single-cell + WEBS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GSE194329</w:t>
            </w:r>
          </w:p>
        </w:tc>
        <w:tc>
          <w:tcPr/>
          <w:p>
            <w:pPr>
              <w:pStyle w:val="Compact"/>
            </w:pPr>
            <w:r>
              <w:t xml:space="preserve">10x Visium</w:t>
            </w:r>
          </w:p>
        </w:tc>
        <w:tc>
          <w:tcPr/>
          <w:p>
            <w:pPr>
              <w:pStyle w:val="Compact"/>
            </w:pPr>
            <w:r>
              <w:t xml:space="preserve">6 GBM slices / 16,344 spots</w:t>
            </w:r>
          </w:p>
        </w:tc>
        <w:tc>
          <w:tcPr/>
          <w:p>
            <w:pPr>
              <w:pStyle w:val="Compact"/>
            </w:pPr>
            <w:r>
              <w:t xml:space="preserve">Spatial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GSE131928</w:t>
            </w:r>
          </w:p>
        </w:tc>
        <w:tc>
          <w:tcPr/>
          <w:p>
            <w:pPr>
              <w:pStyle w:val="Compact"/>
            </w:pPr>
            <w:r>
              <w:t xml:space="preserve">Smart-seq2 + 10x</w:t>
            </w:r>
          </w:p>
        </w:tc>
        <w:tc>
          <w:tcPr/>
          <w:p>
            <w:pPr>
              <w:pStyle w:val="Compact"/>
            </w:pPr>
            <w:r>
              <w:t xml:space="preserve">24,131 cells / 28 patients</w:t>
            </w:r>
          </w:p>
        </w:tc>
        <w:tc>
          <w:tcPr/>
          <w:p>
            <w:pPr>
              <w:pStyle w:val="Compact"/>
            </w:pPr>
            <w:r>
              <w:t xml:space="preserve">External scRNA validation + benchmarking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TCGA-GBM (LinkedOmics)</w:t>
            </w:r>
          </w:p>
        </w:tc>
        <w:tc>
          <w:tcPr/>
          <w:p>
            <w:pPr>
              <w:pStyle w:val="Compact"/>
            </w:pPr>
            <w:r>
              <w:t xml:space="preserve">RNA-seq RSEM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Six-gene signature training + survival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TCGA-GBM (GDC)</w:t>
            </w:r>
          </w:p>
        </w:tc>
        <w:tc>
          <w:tcPr/>
          <w:p>
            <w:pPr>
              <w:pStyle w:val="Compact"/>
            </w:pPr>
            <w:r>
              <w:t xml:space="preserve">STAR-counts TPM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t xml:space="preserve">WEBS survival (boundary 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CGGA-693</w:t>
            </w:r>
          </w:p>
        </w:tc>
        <w:tc>
          <w:tcPr/>
          <w:p>
            <w:pPr>
              <w:pStyle w:val="Compact"/>
            </w:pPr>
            <w:r>
              <w:t xml:space="preserve">RNA-seq</w:t>
            </w:r>
          </w:p>
        </w:tc>
        <w:tc>
          <w:tcPr/>
          <w:p>
            <w:pPr>
              <w:pStyle w:val="Compact"/>
            </w:pPr>
            <w:r>
              <w:t xml:space="preserve">657</w:t>
            </w:r>
          </w:p>
        </w:tc>
        <w:tc>
          <w:tcPr/>
          <w:p>
            <w:pPr>
              <w:pStyle w:val="Compact"/>
            </w:pPr>
            <w:r>
              <w:t xml:space="preserve">Signature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CGGA-325</w:t>
            </w:r>
          </w:p>
        </w:tc>
        <w:tc>
          <w:tcPr/>
          <w:p>
            <w:pPr>
              <w:pStyle w:val="Compact"/>
            </w:pPr>
            <w:r>
              <w:t xml:space="preserve">RNA-seq</w:t>
            </w:r>
          </w:p>
        </w:tc>
        <w:tc>
          <w:tcPr/>
          <w:p>
            <w:pPr>
              <w:pStyle w:val="Compact"/>
            </w:pPr>
            <w:r>
              <w:t xml:space="preserve">313</w:t>
            </w:r>
          </w:p>
        </w:tc>
        <w:tc>
          <w:tcPr/>
          <w:p>
            <w:pPr>
              <w:pStyle w:val="Compact"/>
            </w:pPr>
            <w:r>
              <w:t xml:space="preserve">Signature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GSE7696</w:t>
            </w:r>
          </w:p>
        </w:tc>
        <w:tc>
          <w:tcPr/>
          <w:p>
            <w:pPr>
              <w:pStyle w:val="Compact"/>
            </w:pPr>
            <w:r>
              <w:t xml:space="preserve">Microarray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Survival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CPTAC-GBM</w:t>
            </w:r>
          </w:p>
        </w:tc>
        <w:tc>
          <w:tcPr/>
          <w:p>
            <w:pPr>
              <w:pStyle w:val="Compact"/>
            </w:pPr>
            <w:r>
              <w:t xml:space="preserve">TMT proteomics/acetylomics/phosphoproteomics/RNA-seq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Proteomic mechanism (spliceosome)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TCGA-GBM (TCPA)</w:t>
            </w:r>
          </w:p>
        </w:tc>
        <w:tc>
          <w:tcPr/>
          <w:p>
            <w:pPr>
              <w:pStyle w:val="Compact"/>
            </w:pPr>
            <w:r>
              <w:t xml:space="preserve">RPPA500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Protein-level lactate metabolism survival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DepMap 24Q2</w:t>
            </w:r>
          </w:p>
        </w:tc>
        <w:tc>
          <w:tcPr/>
          <w:p>
            <w:pPr>
              <w:pStyle w:val="Compact"/>
            </w:pPr>
            <w:r>
              <w:t xml:space="preserve">CRISPR</w:t>
            </w:r>
          </w:p>
        </w:tc>
        <w:tc>
          <w:tcPr/>
          <w:p>
            <w:pPr>
              <w:pStyle w:val="Compact"/>
            </w:pPr>
            <w:r>
              <w:t xml:space="preserve">102 GBM/glioma lines</w:t>
            </w:r>
          </w:p>
        </w:tc>
        <w:tc>
          <w:tcPr/>
          <w:p>
            <w:pPr>
              <w:pStyle w:val="Compact"/>
            </w:pPr>
            <w:r>
              <w:t xml:space="preserve">Dependency (MED1/SF3B1/SRSF1)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GDSC2</w:t>
            </w:r>
          </w:p>
        </w:tc>
        <w:tc>
          <w:tcPr/>
          <w:p>
            <w:pPr>
              <w:pStyle w:val="Compact"/>
            </w:pPr>
            <w:r>
              <w:t xml:space="preserve">Drug screen</w:t>
            </w:r>
          </w:p>
        </w:tc>
        <w:tc>
          <w:tcPr/>
          <w:p>
            <w:pPr>
              <w:pStyle w:val="Compact"/>
            </w:pPr>
            <w:r>
              <w:t xml:space="preserve">286 drugs, up to 585 lines</w:t>
            </w:r>
          </w:p>
        </w:tc>
        <w:tc>
          <w:tcPr/>
          <w:p>
            <w:pPr>
              <w:pStyle w:val="Compact"/>
            </w:pPr>
            <w:r>
              <w:t xml:space="preserve">HDAC inhibitor sensitivity + combinations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TCGA-LUAD</w:t>
            </w:r>
          </w:p>
        </w:tc>
        <w:tc>
          <w:tcPr/>
          <w:p>
            <w:pPr>
              <w:pStyle w:val="Compact"/>
            </w:pPr>
            <w:r>
              <w:t xml:space="preserve">RNA-seq</w:t>
            </w:r>
          </w:p>
        </w:tc>
        <w:tc>
          <w:tcPr/>
          <w:p>
            <w:pPr>
              <w:pStyle w:val="Compact"/>
            </w:pPr>
            <w:r>
              <w:t xml:space="preserve">527</w:t>
            </w:r>
          </w:p>
        </w:tc>
        <w:tc>
          <w:tcPr/>
          <w:p>
            <w:pPr>
              <w:pStyle w:val="Compact"/>
            </w:pPr>
            <w:r>
              <w:t xml:space="preserve">Pan-cancer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TCGA-BRCA</w:t>
            </w:r>
          </w:p>
        </w:tc>
        <w:tc>
          <w:tcPr/>
          <w:p>
            <w:pPr>
              <w:pStyle w:val="Compact"/>
            </w:pPr>
            <w:r>
              <w:t xml:space="preserve">RNA-seq</w:t>
            </w:r>
          </w:p>
        </w:tc>
        <w:tc>
          <w:tcPr/>
          <w:p>
            <w:pPr>
              <w:pStyle w:val="Compact"/>
            </w:pPr>
            <w:r>
              <w:t xml:space="preserve">1,087</w:t>
            </w:r>
          </w:p>
        </w:tc>
        <w:tc>
          <w:tcPr/>
          <w:p>
            <w:pPr>
              <w:pStyle w:val="Compact"/>
            </w:pPr>
            <w:r>
              <w:t xml:space="preserve">Pan-cancer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TCGA-SKCM</w:t>
            </w:r>
          </w:p>
        </w:tc>
        <w:tc>
          <w:tcPr/>
          <w:p>
            <w:pPr>
              <w:pStyle w:val="Compact"/>
            </w:pPr>
            <w:r>
              <w:t xml:space="preserve">RNA-seq</w:t>
            </w:r>
          </w:p>
        </w:tc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t xml:space="preserve">Pan-cancer scope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2026-10-30T01:42:43Z</dcterms:created>
  <dcterms:modified xsi:type="dcterms:W3CDTF">2026-10-30T01:42:43Z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