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Through computational integration of multi-omic data, we identify a post-transcriptional mechanism of spliceosome activation in glioblastoma (GBM) with direct implications for clinical stratification.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(OR = 7.36, p = 1.3 × 10⁻¹⁸) and coupled to protein abundance (median ρ = 0.62), supporting acetylation–ubiquitination competition as the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docking (vorinostat–HDAC2 −7.9; H3B-8800–SF3B1 −6.7 kcal/mol). Predictive boundaries (immunotherapy response, bulk-RNA survival in TCGA-GBM, non-GBM cancers) are reported explicitly. WEBS is released as an open, computationally efficient tool.</w:t>
      </w:r>
    </w:p>
    <w:p>
      <w:pPr>
        <w:pStyle w:val="BodyText"/>
      </w:pPr>
      <w:r>
        <w:t xml:space="preserve">(206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Zhang D, Gao J, Zhu Z, et al. Lysine L-lactylation is the dominant lactylation isomer induced by glycolysis. Nat Chem Biol. 2025;21(1):91-99.</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2026;28(2):349-362.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Wang LB, Karpova A, Gritsenko MA, et al. Proteogenomic and metabolomic characterization of human glioblastoma. Cancer Cell. 2021;39(4):509-528.e20.</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4588344"/>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line="480"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sz w:val="24"/>
      <w:szCs w:val="24"/>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2026-11-01T00:58:36Z</dcterms:created>
  <dcterms:modified xsi:type="dcterms:W3CDTF">2026-11-01T00:58:36Z</dcterms:modified>
</cp:coreProperties>
</file>

<file path=docProps/custom.xml><?xml version="1.0" encoding="utf-8"?>
<Properties xmlns="http://schemas.openxmlformats.org/officeDocument/2006/custom-properties" xmlns:vt="http://schemas.openxmlformats.org/officeDocument/2006/docPropsVTypes"/>
</file>