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Editor-in-Chief,</w:t>
      </w:r>
    </w:p>
    <w:p>
      <w:pPr>
        <w:pStyle w:val="BodyText"/>
      </w:pPr>
      <w:r>
        <w:t xml:space="preserve">We are pleased to submit our manuscript entitled</w:t>
      </w:r>
      <w:r>
        <w:t xml:space="preserve"> </w:t>
      </w:r>
      <w:r>
        <w:t xml:space="preserve">“Spliceosome activation defines an epigenetically hyperactive and therapeutically targetable malignant cell state in glioblastoma”</w:t>
      </w:r>
      <w:r>
        <w:t xml:space="preserve"> </w:t>
      </w:r>
      <w:r>
        <w:t xml:space="preserve">for consideration as a Research Article in Computers in Biology and Medicine.</w:t>
      </w:r>
    </w:p>
    <w:p>
      <w:pPr>
        <w:pStyle w:val="BodyText"/>
      </w:pPr>
      <w:r>
        <w:t xml:space="preserve">This study presents a computational systems-biology framework that integrates single-cell transcriptomics (35,823 cells), spatial transcriptomics, TMT proteomics and acetylomics, pharmacogenomic screens, and molecular docking to define and validate a therapeutically targetable malignant cell state in glioblastoma. The central finding is counterintuitive and methodologically notable: spliceosome activation in the writer-dominant state is post-transcriptional — protein abundance of splicing machinery tracks the epigenetic state (ρ = 0.79) while mRNA does not (ρ = −0.03), a discordance exceeding 100 size-matched random gene sets (empirical p = 0.010). Site-level acetylome analysis nominates acetylation–ubiquitination competition as the stabilizing mechanism.</w:t>
      </w:r>
    </w:p>
    <w:p>
      <w:pPr>
        <w:pStyle w:val="BodyText"/>
      </w:pPr>
      <w:r>
        <w:t xml:space="preserve">We emphasize that this is a purely computational study: its claims rest on convergent evidence across six independent data layers rather than on new experiments, and an explicit experimental validation roadmap is provided. We believe this work fits the scope of Computers in Biology and Medicine for three reasons. First, it introduces WEBS, a released, rank-based computational tool with calibrated performance (35,823 cells in 3.5 min, &lt;2 MB incremental memory) and systematic robustness testing (parameter sweeps, leave-one/two-out, bootstrap stability, SHAP interpretability). Second, it demonstrates a complete in-silico-to-hypothesis pipeline — from multi-omic integration (MOFA2) through CRISPR/drug-screen mining to structure-level docking — that is directly reusable by the journal’s readership. Third, it practices transparent boundary reporting, explicitly delimiting where the axis does not predict (immunotherapy response, bulk-RNA survival in TCGA-GBM, non-GBM cancer types), converting negative results into testable hypotheses.</w:t>
      </w:r>
    </w:p>
    <w:p>
      <w:pPr>
        <w:pStyle w:val="BodyText"/>
      </w:pPr>
      <w:r>
        <w:t xml:space="preserve">This manuscript is original, has not been published previously, and is not under consideration by any other journal. All authors have read and approved the manuscript and declare no competing interests. During the preparation of this work, the authors used generative AI tools for language editing, code formatting, and computational pipeline reconstruction; all scientific content, data analysis, and conclusions were generated and verified by the authors, who take full responsibility for the content of this publication.</w:t>
      </w:r>
    </w:p>
    <w:p>
      <w:pPr>
        <w:pStyle w:val="BodyText"/>
      </w:pPr>
      <w:r>
        <w:t xml:space="preserve">Thank you for your consideration. We look forward to your response.</w:t>
      </w:r>
    </w:p>
    <w:p>
      <w:pPr>
        <w:pStyle w:val="BodyText"/>
      </w:pPr>
      <w:r>
        <w:t xml:space="preserve">Sincerely,</w:t>
      </w:r>
    </w:p>
    <w:p>
      <w:pPr>
        <w:pStyle w:val="BodyText"/>
      </w:pPr>
      <w:r>
        <w:t xml:space="preserve">Jia Chen, PhD (on behalf of all co-authors)</w:t>
      </w:r>
      <w:r>
        <w:t xml:space="preserve"> </w:t>
      </w:r>
      <w:r>
        <w:t xml:space="preserve">Department of Bioinformatics, Chengdu Neusoft University, Chengdu, China</w:t>
      </w:r>
      <w:r>
        <w:t xml:space="preserve"> </w:t>
      </w:r>
      <w:r>
        <w:t xml:space="preserve">Email: 1176625889@qq.com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2026-10-30T04:35:26Z</dcterms:created>
  <dcterms:modified xsi:type="dcterms:W3CDTF">2026-10-30T04:35:26Z</dcterms:modified>
</cp:coreProperties>
</file>

<file path=docProps/custom.xml><?xml version="1.0" encoding="utf-8"?>
<Properties xmlns="http://schemas.openxmlformats.org/officeDocument/2006/custom-properties" xmlns:vt="http://schemas.openxmlformats.org/officeDocument/2006/docPropsVTypes"/>
</file>