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Test Business</w:t>
      </w:r>
    </w:p>
    <w:p>
      <w:pPr>
        <w:jc w:val="center"/>
      </w:pPr>
      <w:r>
        <w:rPr>
          <w:rFonts w:ascii="Times New Roman" w:hAnsi="Times New Roman"/>
          <w:i/>
          <w:sz w:val="21"/>
        </w:rPr>
        <w:t xml:space="preserve">Dated as of </w:t>
      </w:r>
    </w:p>
    <w:p/>
    <w:p>
      <w:pPr>
        <w:ind w:firstLine="432"/>
      </w:pPr>
      <w:r>
        <w:t xml:space="preserve">This Asset Purchase Agreement (this “Agreement”) is entered into as of </w:t>
      </w:r>
      <w:r>
        <w:rPr>
          <w:b/>
        </w:rPr>
        <w:t xml:space="preserve"/>
      </w:r>
      <w:r>
        <w:t xml:space="preserve">, by and between </w:t>
      </w:r>
      <w:r>
        <w:rPr>
          <w:b/>
        </w:rPr>
        <w:t xml:space="preserve">None</w:t>
      </w:r>
      <w:r>
        <w:t xml:space="preserve">, with an address at </w:t>
      </w:r>
      <w:r>
        <w:rPr>
          <w:b/>
        </w:rPr>
        <w:t xml:space="preserve">None</w:t>
      </w:r>
      <w:r>
        <w:t xml:space="preserve"> (“Seller”), and </w:t>
      </w:r>
      <w:r>
        <w:rPr>
          <w:b/>
        </w:rPr>
        <w:t xml:space="preserve">None</w:t>
      </w:r>
      <w:r>
        <w:t xml:space="preserve">, with an address at </w:t>
      </w:r>
      <w:r>
        <w:rPr>
          <w:b/>
        </w:rPr>
        <w:t xml:space="preserve">None</w:t>
      </w:r>
      <w:r>
        <w:t xml:space="preserve"> (“Buyer”).</w:t>
      </w:r>
    </w:p>
    <w:p>
      <w:pPr>
        <w:ind w:firstLine="432"/>
      </w:pPr>
      <w:r>
        <w:t xml:space="preserve">Seller owns and operates the business known as </w:t>
      </w:r>
      <w:r>
        <w:rPr>
          <w:b/>
        </w:rPr>
        <w:t xml:space="preserve">Test Business</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
      </w:r>
    </w:p>
    <w:p>
      <w:pPr>
        <w:pStyle w:val="Heading2"/>
      </w:pPr>
      <w:r>
        <w:t>Excluded Assets</w:t>
      </w:r>
    </w:p>
    <w:p>
      <w:pPr>
        <w:spacing w:after="80"/>
        <w:ind w:firstLine="432"/>
      </w:pPr>
      <w:r>
        <w:t xml:space="preserve"/>
      </w:r>
    </w:p>
    <w:p>
      <w:pPr>
        <w:pStyle w:val="Heading1"/>
      </w:pPr>
      <w:r>
        <w:t>2. PURCHASE PRICE AND PAYMENT TERMS</w:t>
      </w:r>
    </w:p>
    <w:p>
      <w:pPr>
        <w:spacing w:after="80"/>
        <w:ind w:firstLine="432"/>
      </w:pPr>
      <w:r>
        <w:t xml:space="preserve">The total consideration for the Purchased Assets shall be 100000,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year(s) following Closing, and within a radius of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None</w:t>
            </w:r>
          </w:p>
        </w:tc>
        <w:tc>
          <w:tcPr>
            <w:tcW w:type="dxa" w:w="4824"/>
            <w:tcMar>
              <w:top w:w="120" w:type="dxa"/>
              <w:start w:w="120" w:type="dxa"/>
              <w:bottom w:w="120" w:type="dxa"/>
              <w:end w:w="120" w:type="dxa"/>
            </w:tcMar>
            <w:vAlign w:val="center"/>
          </w:tcPr>
          <w:p>
            <w:r>
              <w:rPr>
                <w:rFonts w:ascii="Times New Roman" w:hAnsi="Times New Roman"/>
                <w:b/>
                <w:sz w:val="22"/>
              </w:rPr>
              <w:t xml:space="preserve">None</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