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w:t>
      </w:r>
    </w:p>
    <w:p/>
    <w:p>
      <w:pPr>
        <w:ind w:firstLine="432"/>
      </w:pPr>
      <w:r>
        <w:t xml:space="preserve">This Asset Purchase Agreement (this “Agreement”) is entered into as of </w:t>
      </w:r>
      <w:r>
        <w:rPr>
          <w:b/>
        </w:rPr>
        <w:t xml:space="preserve"/>
      </w:r>
      <w:r>
        <w:t xml:space="preserve">, by and between </w:t>
      </w:r>
      <w:r>
        <w:rPr>
          <w:b/>
        </w:rPr>
        <w:t xml:space="preserve"/>
      </w:r>
      <w:r>
        <w:t xml:space="preserve">, with an address at </w:t>
      </w:r>
      <w:r>
        <w:rPr>
          <w:b/>
        </w:rPr>
        <w:t xml:space="preserve"/>
      </w:r>
      <w:r>
        <w:t xml:space="preserve"> (“Seller”), and </w:t>
      </w:r>
      <w:r>
        <w:rPr>
          <w:b/>
        </w:rPr>
        <w:t xml:space="preserve"/>
      </w:r>
      <w:r>
        <w:t xml:space="preserve">, with an address at </w:t>
      </w:r>
      <w:r>
        <w:rPr>
          <w:b/>
        </w:rPr>
        <w:t xml:space="preserve"/>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
            </w:r>
          </w:p>
        </w:tc>
        <w:tc>
          <w:tcPr>
            <w:tcW w:type="dxa" w:w="4824"/>
            <w:tcMar>
              <w:top w:w="120" w:type="dxa"/>
              <w:start w:w="120" w:type="dxa"/>
              <w:bottom w:w="120" w:type="dxa"/>
              <w:end w:w="120" w:type="dxa"/>
            </w:tcMar>
            <w:vAlign w:val="center"/>
          </w:tcPr>
          <w:p>
            <w:r>
              <w:rPr>
                <w:rFonts w:ascii="Times New Roman" w:hAnsi="Times New Roman"/>
                <w:b/>
                <w:sz w:val="22"/>
              </w:rPr>
              <w:t xml:space="preserve"/>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