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BILL OF SALE</w:t>
      </w:r>
    </w:p>
    <w:p>
      <w:pPr>
        <w:jc w:val="center"/>
      </w:pPr>
      <w:r>
        <w:rPr>
          <w:i/>
          <w:sz w:val="21"/>
        </w:rPr>
        <w:t>Business Asset Transfer Instrument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/>
        <w:tc>
          <w:tcPr>
            <w:tcW w:type="dxa" w:w="2448"/>
            <w:vAlign w:val="center"/>
            <w:shd w:fill="EAF0F8"/>
          </w:tcPr>
          <w:p>
            <w:r>
              <w:rPr>
                <w:b/>
                <w:sz w:val="20"/>
              </w:rPr>
              <w:t>Business Name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20"/>
              </w:rPr>
              <w:t xml:space="preserve">Sunset Family Market</w:t>
            </w:r>
          </w:p>
        </w:tc>
        <w:tc>
          <w:tcPr>
            <w:tcW w:type="dxa" w:w="2448"/>
            <w:vAlign w:val="center"/>
            <w:shd w:fill="EAF0F8"/>
          </w:tcPr>
          <w:p>
            <w:r>
              <w:rPr>
                <w:b/>
                <w:sz w:val="20"/>
              </w:rPr>
              <w:t>State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20"/>
              </w:rPr>
              <w:t xml:space="preserve">None</w:t>
            </w:r>
          </w:p>
        </w:tc>
      </w:tr>
      <w:tr>
        <w:trPr/>
        <w:tc>
          <w:tcPr>
            <w:tcW w:type="dxa" w:w="2448"/>
            <w:vAlign w:val="center"/>
            <w:shd w:fill="EAF0F8"/>
          </w:tcPr>
          <w:p>
            <w:r>
              <w:rPr>
                <w:b/>
                <w:sz w:val="20"/>
              </w:rPr>
              <w:t>Closing Date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20"/>
              </w:rPr>
              <w:t xml:space="preserve"/>
            </w:r>
          </w:p>
        </w:tc>
        <w:tc>
          <w:tcPr>
            <w:tcW w:type="dxa" w:w="2448"/>
            <w:vAlign w:val="center"/>
            <w:shd w:fill="EAF0F8"/>
          </w:tcPr>
          <w:p>
            <w:r>
              <w:rPr>
                <w:b/>
                <w:sz w:val="20"/>
              </w:rPr>
              <w:t>Purchase Price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20"/>
              </w:rPr>
              <w:t xml:space="preserve"/>
            </w:r>
          </w:p>
        </w:tc>
      </w:tr>
      <w:tr>
        <w:trPr/>
        <w:tc>
          <w:tcPr>
            <w:tcW w:type="dxa" w:w="2448"/>
            <w:vAlign w:val="center"/>
            <w:shd w:fill="EAF0F8"/>
          </w:tcPr>
          <w:p>
            <w:r>
              <w:rPr>
                <w:b/>
                <w:sz w:val="20"/>
              </w:rPr>
              <w:t>Seller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20"/>
              </w:rPr>
              <w:t xml:space="preserve"/>
            </w:r>
          </w:p>
        </w:tc>
        <w:tc>
          <w:tcPr>
            <w:tcW w:type="dxa" w:w="2448"/>
            <w:vAlign w:val="center"/>
            <w:shd w:fill="EAF0F8"/>
          </w:tcPr>
          <w:p>
            <w:r>
              <w:rPr>
                <w:b/>
                <w:sz w:val="20"/>
              </w:rPr>
              <w:t>Buyer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20"/>
              </w:rPr>
              <w:t xml:space="preserve"/>
            </w:r>
          </w:p>
        </w:tc>
      </w:tr>
    </w:tbl>
    <w:p/>
    <w:p>
      <w:r>
        <w:rPr>
          <w:b/>
        </w:rPr>
        <w:t xml:space="preserve">Seller. </w:t>
      </w:r>
      <w:r>
        <w:t xml:space="preserve"/>
      </w:r>
      <w:r>
        <w:t xml:space="preserve"> ("Seller"), with an address of </w:t>
      </w:r>
      <w:r>
        <w:t xml:space="preserve"/>
      </w:r>
      <w:r>
        <w:t xml:space="preserve">, hereby sells, transfers, and conveys to </w:t>
      </w:r>
      <w:r>
        <w:t xml:space="preserve"/>
      </w:r>
      <w:r>
        <w:t xml:space="preserve"> ("Buyer"), with an address of </w:t>
      </w:r>
      <w:r>
        <w:t xml:space="preserve"/>
      </w:r>
      <w:r>
        <w:t xml:space="preserve">, all of Seller’s right, title, and interest in the assets described below, as part of the transfer of the business known as </w:t>
      </w:r>
      <w:r>
        <w:t xml:space="preserve">Sunset Family Market</w:t>
      </w:r>
      <w:r>
        <w:t xml:space="preserve">. </w:t>
      </w:r>
    </w:p>
    <w:p>
      <w:r>
        <w:rPr>
          <w:b/>
          <w:sz w:val="24"/>
        </w:rPr>
        <w:t>Transferred Assets Summary</w:t>
      </w:r>
    </w:p>
    <w:p>
      <w:r>
        <w:t>The following assets are included in the sale:</w:t>
      </w:r>
    </w:p>
    <w:p>
      <w:pPr>
        <w:pStyle w:val="ListBullet"/>
      </w:pPr>
      <w:r>
        <w:t xml:space="preserve"/>
      </w:r>
    </w:p>
    <w:p>
      <w:r>
        <w:t>The following assets are excluded from the sale:</w:t>
      </w:r>
    </w:p>
    <w:p>
      <w:r>
        <w:t xml:space="preserve"/>
      </w:r>
    </w:p>
    <w:p>
      <w:r>
        <w:rPr>
          <w:b/>
          <w:sz w:val="24"/>
        </w:rPr>
        <w:t>Equipment Schedule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8"/>
        <w:gridCol w:w="1398"/>
        <w:gridCol w:w="1398"/>
        <w:gridCol w:w="1398"/>
        <w:gridCol w:w="1398"/>
        <w:gridCol w:w="1398"/>
        <w:gridCol w:w="1398"/>
      </w:tblGrid>
      <w:tr>
        <w:tc>
          <w:tcPr>
            <w:tcW w:type="dxa" w:w="2448"/>
            <w:shd w:fill="D9E2F3"/>
            <w:vAlign w:val="center"/>
          </w:tcPr>
          <w:p>
            <w:pPr>
              <w:spacing w:after="0" w:before="0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2448"/>
            <w:shd w:fill="D9E2F3"/>
            <w:vAlign w:val="center"/>
          </w:tcPr>
          <w:p>
            <w:pPr>
              <w:spacing w:after="0" w:before="0"/>
            </w:pPr>
            <w:r>
              <w:rPr>
                <w:b/>
                <w:sz w:val="20"/>
              </w:rPr>
              <w:t>Item Name</w:t>
            </w:r>
          </w:p>
        </w:tc>
        <w:tc>
          <w:tcPr>
            <w:tcW w:type="dxa" w:w="2448"/>
            <w:shd w:fill="D9E2F3"/>
            <w:vAlign w:val="center"/>
          </w:tcPr>
          <w:p>
            <w:pPr>
              <w:spacing w:after="0" w:before="0"/>
            </w:pPr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2448"/>
            <w:shd w:fill="D9E2F3"/>
            <w:vAlign w:val="center"/>
          </w:tcPr>
          <w:p>
            <w:pPr>
              <w:spacing w:after="0" w:before="0"/>
            </w:pPr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0"/>
              </w:rPr>
              <w:t xml:space="preserve"/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 xml:space="preserve"/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 xml:space="preserve"/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0"/>
              </w:rPr>
              <w:t xml:space="preserve"/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 xml:space="preserve"/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 xml:space="preserve"/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 xml:space="preserve"/>
            </w:r>
            <w:r>
              <w:rPr>
                <w:sz w:val="20"/>
              </w:rPr>
              <w:t xml:space="preserve"/>
            </w:r>
          </w:p>
        </w:tc>
      </w:tr>
    </w:tbl>
    <w:p/>
    <w:p>
      <w:r>
        <w:rPr>
          <w:b/>
        </w:rPr>
        <w:t xml:space="preserve">Consideration. </w:t>
      </w:r>
      <w:r>
        <w:t xml:space="preserve">This Bill of Sale is executed in connection with the closing scheduled for </w:t>
      </w:r>
      <w:r>
        <w:t xml:space="preserve"/>
      </w:r>
      <w:r>
        <w:t xml:space="preserve"> and the consideration described in the related purchase agreement, including a total purchase price of </w:t>
      </w:r>
      <w:r>
        <w:t xml:space="preserve"/>
      </w:r>
      <w:r>
        <w:t>.</w:t>
      </w:r>
    </w:p>
    <w:p>
      <w:r>
        <w:rPr>
          <w:b/>
        </w:rPr>
        <w:t xml:space="preserve">Non-Compete / Transition Reference. </w:t>
      </w:r>
      <w:r>
        <w:t xml:space="preserve">Any restrictive covenants or transition obligations applicable to the transaction are governed by the related transaction documents, including any non-compete term of </w:t>
      </w:r>
      <w:r>
        <w:t xml:space="preserve"/>
      </w:r>
      <w:r>
        <w:t xml:space="preserve"> years within </w:t>
      </w:r>
      <w:r>
        <w:t xml:space="preserve"/>
      </w:r>
      <w:r>
        <w:t xml:space="preserve"> miles, if applicable.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AF0F8"/>
            <w:vAlign w:val="center"/>
          </w:tcPr>
          <w:p>
            <w:pPr>
              <w:spacing w:after="0" w:before="0"/>
            </w:pPr>
            <w:r>
              <w:rPr>
                <w:b/>
                <w:sz w:val="20"/>
              </w:rPr>
              <w:t>Seller Signature</w:t>
            </w:r>
          </w:p>
        </w:tc>
        <w:tc>
          <w:tcPr>
            <w:tcW w:type="dxa" w:w="4896"/>
            <w:shd w:fill="EAF0F8"/>
            <w:vAlign w:val="center"/>
          </w:tcPr>
          <w:p>
            <w:pPr>
              <w:spacing w:after="0" w:before="0"/>
            </w:pPr>
            <w:r>
              <w:rPr>
                <w:b/>
                <w:sz w:val="20"/>
              </w:rPr>
              <w:t>Buyer Signature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>______________________________</w:t>
              <w:br/>
              <w:t xml:space="preserve"/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>______________________________</w:t>
              <w:br/>
              <w:t xml:space="preserve"/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>Date: __________________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>Date: __________________</w:t>
            </w:r>
          </w:p>
        </w:tc>
      </w:tr>
    </w:tbl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