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ASSET PURCHASE AGREEMENT</w:t>
      </w:r>
    </w:p>
    <w:p>
      <w:pPr>
        <w:jc w:val="center"/>
      </w:pPr>
      <w:r>
        <w:rPr>
          <w:rFonts w:ascii="Times New Roman" w:hAnsi="Times New Roman"/>
          <w:b/>
          <w:sz w:val="22"/>
        </w:rPr>
        <w:t xml:space="preserve">relating to the sale of Sunset Family Market</w:t>
      </w:r>
    </w:p>
    <w:p>
      <w:pPr>
        <w:jc w:val="center"/>
      </w:pPr>
      <w:r>
        <w:rPr>
          <w:rFonts w:ascii="Times New Roman" w:hAnsi="Times New Roman"/>
          <w:i/>
          <w:sz w:val="21"/>
        </w:rPr>
        <w:t xml:space="preserve">Dated as of March 26, 2026</w:t>
      </w:r>
    </w:p>
    <w:p/>
    <w:p>
      <w:pPr>
        <w:ind w:firstLine="432"/>
      </w:pPr>
      <w:r>
        <w:t xml:space="preserve">This Asset Purchase Agreement (this “Agreement”) is entered into as of </w:t>
      </w:r>
      <w:r>
        <w:rPr>
          <w:b/>
        </w:rPr>
        <w:t xml:space="preserve">March 26, 2026</w:t>
      </w:r>
      <w:r>
        <w:t xml:space="preserve">, by and between </w:t>
      </w:r>
      <w:r>
        <w:rPr>
          <w:b/>
        </w:rPr>
        <w:t xml:space="preserve">Daniel Jeong</w:t>
      </w:r>
      <w:r>
        <w:t xml:space="preserve">, with an address at </w:t>
      </w:r>
      <w:r>
        <w:rPr>
          <w:b/>
        </w:rPr>
        <w:t xml:space="preserve">2835 Hudson Boulevard, The Colony, TX 75056</w:t>
      </w:r>
      <w:r>
        <w:t xml:space="preserve"> (“Seller”), and </w:t>
      </w:r>
      <w:r>
        <w:rPr>
          <w:b/>
        </w:rPr>
        <w:t xml:space="preserve">John Smith</w:t>
      </w:r>
      <w:r>
        <w:t xml:space="preserve">, with an address at </w:t>
      </w:r>
      <w:r>
        <w:rPr>
          <w:b/>
        </w:rPr>
        <w:t xml:space="preserve">102 Dresher woods Dr, Dresher, PA 19002</w:t>
      </w:r>
      <w:r>
        <w:t xml:space="preserve"> (“Buyer”).</w:t>
      </w:r>
    </w:p>
    <w:p>
      <w:pPr>
        <w:ind w:firstLine="432"/>
      </w:pPr>
      <w:r>
        <w:t xml:space="preserve">Seller owns and operates the business known as </w:t>
      </w:r>
      <w:r>
        <w:rPr>
          <w:b/>
        </w:rPr>
        <w:t xml:space="preserve">Sunset Family Market</w:t>
      </w:r>
      <w:r>
        <w:t xml:space="preserve"> (the “Business”). Buyer desires to purchase from Seller, and Seller desires to sell to Buyer, substantially all of the assets used in connection with the Business, upon the terms and subject to the conditions set forth herein.</w:t>
      </w:r>
    </w:p>
    <w:p>
      <w:r>
        <w:t>NOW, THEREFORE, in consideration of the mutual covenants and agreements herein contained, and for other good and valuable consideration, the receipt and sufficiency of which are hereby acknowledged, the parties agree as follows:</w:t>
      </w:r>
    </w:p>
    <w:p>
      <w:pPr>
        <w:pStyle w:val="Heading1"/>
      </w:pPr>
      <w:r>
        <w:t>1. PURCHASE AND SALE OF ASSETS</w:t>
      </w:r>
    </w:p>
    <w:p>
      <w:pPr>
        <w:spacing w:after="80"/>
        <w:ind w:firstLine="432"/>
      </w:pPr>
      <w:r>
        <w:t>Subject to the terms and conditions of this Agreement, Seller hereby sells, assigns, transfers, conveys, and delivers to Buyer, and Buyer hereby purchases from Seller, all of Seller’s right, title, and interest in and to the assets, properties, and rights used in or held for use in connection with the Business, except for the Excluded Assets expressly identified herein.</w:t>
      </w:r>
    </w:p>
    <w:p>
      <w:pPr>
        <w:pStyle w:val="Heading2"/>
      </w:pPr>
      <w:r>
        <w:t>Included Assets</w:t>
      </w:r>
    </w:p>
    <w:p>
      <w:pPr>
        <w:spacing w:after="80"/>
        <w:ind w:firstLine="432"/>
      </w:pPr>
      <w:r>
        <w:t xml:space="preserve"/>
      </w:r>
    </w:p>
    <w:p>
      <w:pPr>
        <w:pStyle w:val="Heading2"/>
      </w:pPr>
      <w:r>
        <w:t>Excluded Assets</w:t>
      </w:r>
    </w:p>
    <w:p>
      <w:pPr>
        <w:spacing w:after="80"/>
        <w:ind w:firstLine="432"/>
      </w:pPr>
      <w:r>
        <w:t xml:space="preserve"/>
      </w:r>
    </w:p>
    <w:p>
      <w:pPr>
        <w:pStyle w:val="Heading1"/>
      </w:pPr>
      <w:r>
        <w:t>2. PURCHASE PRICE AND PAYMENT TERMS</w:t>
      </w:r>
    </w:p>
    <w:p>
      <w:pPr>
        <w:spacing w:after="80"/>
        <w:ind w:firstLine="432"/>
      </w:pPr>
      <w:r>
        <w:t xml:space="preserve">The total consideration for the Purchased Assets shall be 420000, payable in the manner summarized below and further described in this Agreement.</w:t>
      </w:r>
    </w:p>
    <w:tbl>
      <w:tblPr>
        <w:tblStyle w:val="TableGrid"/>
        <w:tblW w:type="auto" w:w="0"/>
        <w:jc w:val="center"/>
        <w:tblLook w:firstColumn="1" w:firstRow="1" w:lastColumn="0" w:lastRow="0" w:noHBand="0" w:noVBand="1" w:val="04A0"/>
      </w:tblPr>
      <w:tblGrid>
        <w:gridCol w:w="4824"/>
        <w:gridCol w:w="4824"/>
      </w:tblGrid>
      <w:tr>
        <w:tc>
          <w:tcPr>
            <w:tcW w:type="dxa" w:w="4824"/>
            <w:shd w:fill="DCE6F1"/>
            <w:tcMar>
              <w:top w:w="120" w:type="dxa"/>
              <w:start w:w="120" w:type="dxa"/>
              <w:bottom w:w="120" w:type="dxa"/>
              <w:end w:w="120" w:type="dxa"/>
            </w:tcMar>
            <w:vAlign w:val="center"/>
          </w:tcPr>
          <w:p>
            <w:pPr>
              <w:jc w:val="center"/>
            </w:pPr>
            <w:r>
              <w:rPr>
                <w:rFonts w:ascii="Times New Roman" w:hAnsi="Times New Roman"/>
                <w:b/>
                <w:sz w:val="21"/>
              </w:rPr>
              <w:t>Purchase Price Components</w:t>
            </w:r>
          </w:p>
        </w:tc>
        <w:tc>
          <w:tcPr>
            <w:tcW w:type="dxa" w:w="4824"/>
            <w:shd w:fill="DCE6F1"/>
            <w:tcMar>
              <w:top w:w="120" w:type="dxa"/>
              <w:start w:w="120" w:type="dxa"/>
              <w:bottom w:w="120" w:type="dxa"/>
              <w:end w:w="120" w:type="dxa"/>
            </w:tcMar>
            <w:vAlign w:val="center"/>
          </w:tcPr>
          <w:p>
            <w:pPr>
              <w:jc w:val="center"/>
            </w:pPr>
            <w:r>
              <w:rPr>
                <w:rFonts w:ascii="Times New Roman" w:hAnsi="Times New Roman"/>
                <w:b/>
                <w:sz w:val="21"/>
              </w:rPr>
              <w:t>Amount</w:t>
            </w:r>
          </w:p>
        </w:tc>
      </w:tr>
      <w:tr>
        <w:tc>
          <w:tcPr>
            <w:tcW w:type="dxa" w:w="4824"/>
            <w:tcMar>
              <w:top w:w="120" w:type="dxa"/>
              <w:start w:w="120" w:type="dxa"/>
              <w:bottom w:w="120" w:type="dxa"/>
              <w:end w:w="120" w:type="dxa"/>
            </w:tcMar>
            <w:vAlign w:val="center"/>
          </w:tcPr>
          <w:p>
            <w:pPr>
              <w:jc w:val="left"/>
            </w:pPr>
            <w:r>
              <w:rPr>
                <w:rFonts w:ascii="Times New Roman" w:hAnsi="Times New Roman"/>
                <w:sz w:val="21"/>
              </w:rPr>
              <w:t>Total Purchase Price</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420000</w:t>
            </w:r>
          </w:p>
        </w:tc>
      </w:tr>
      <w:tr>
        <w:tc>
          <w:tcPr>
            <w:tcW w:type="dxa" w:w="4824"/>
            <w:tcMar>
              <w:top w:w="120" w:type="dxa"/>
              <w:start w:w="120" w:type="dxa"/>
              <w:bottom w:w="120" w:type="dxa"/>
              <w:end w:w="120" w:type="dxa"/>
            </w:tcMar>
            <w:vAlign w:val="center"/>
          </w:tcPr>
          <w:p>
            <w:pPr>
              <w:jc w:val="left"/>
            </w:pPr>
            <w:r>
              <w:rPr>
                <w:rFonts w:ascii="Times New Roman" w:hAnsi="Times New Roman"/>
                <w:sz w:val="21"/>
              </w:rPr>
              <w:t>Earnest Money / Deposit</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
            </w:r>
          </w:p>
        </w:tc>
      </w:tr>
      <w:tr>
        <w:tc>
          <w:tcPr>
            <w:tcW w:type="dxa" w:w="4824"/>
            <w:tcMar>
              <w:top w:w="120" w:type="dxa"/>
              <w:start w:w="120" w:type="dxa"/>
              <w:bottom w:w="120" w:type="dxa"/>
              <w:end w:w="120" w:type="dxa"/>
            </w:tcMar>
            <w:vAlign w:val="center"/>
          </w:tcPr>
          <w:p>
            <w:pPr>
              <w:jc w:val="left"/>
            </w:pPr>
            <w:r>
              <w:rPr>
                <w:rFonts w:ascii="Times New Roman" w:hAnsi="Times New Roman"/>
                <w:sz w:val="21"/>
              </w:rPr>
              <w:t>Cash Due at Closing</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
            </w:r>
          </w:p>
        </w:tc>
      </w:tr>
      <w:tr>
        <w:tc>
          <w:tcPr>
            <w:tcW w:type="dxa" w:w="4824"/>
            <w:tcMar>
              <w:top w:w="120" w:type="dxa"/>
              <w:start w:w="120" w:type="dxa"/>
              <w:bottom w:w="120" w:type="dxa"/>
              <w:end w:w="120" w:type="dxa"/>
            </w:tcMar>
            <w:vAlign w:val="center"/>
          </w:tcPr>
          <w:p>
            <w:pPr>
              <w:jc w:val="left"/>
            </w:pPr>
            <w:r>
              <w:rPr>
                <w:rFonts w:ascii="Times New Roman" w:hAnsi="Times New Roman"/>
                <w:sz w:val="21"/>
              </w:rPr>
              <w:t>Seller Financing</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
            </w:r>
          </w:p>
        </w:tc>
      </w:tr>
    </w:tbl>
    <w:p/>
    <w:p>
      <w:pPr>
        <w:spacing w:after="80"/>
        <w:ind w:firstLine="432"/>
      </w:pPr>
      <w:r>
        <w:t xml:space="preserve"/>
      </w:r>
    </w:p>
    <w:p>
      <w:pPr>
        <w:pStyle w:val="Heading1"/>
      </w:pPr>
      <w:r>
        <w:t>3. ALLOCATION OF PURCHASE PRICE</w:t>
      </w:r>
    </w:p>
    <w:p>
      <w:pPr>
        <w:spacing w:after="80"/>
        <w:ind w:firstLine="432"/>
      </w:pPr>
      <w:r>
        <w:t>The parties agree to allocate the Purchase Price among the Purchased Assets in accordance with the following schedule. The parties shall report the transaction consistently for tax purposes.</w:t>
      </w:r>
    </w:p>
    <w:tbl>
      <w:tblPr>
        <w:tblStyle w:val="TableGrid"/>
        <w:tblW w:type="auto" w:w="0"/>
        <w:jc w:val="center"/>
        <w:tblLook w:firstColumn="1" w:firstRow="1" w:lastColumn="0" w:lastRow="0" w:noHBand="0" w:noVBand="1" w:val="04A0"/>
      </w:tblPr>
      <w:tblGrid>
        <w:gridCol w:w="4824"/>
        <w:gridCol w:w="4824"/>
      </w:tblGrid>
      <w:tr>
        <w:tc>
          <w:tcPr>
            <w:tcW w:type="dxa" w:w="4824"/>
            <w:shd w:fill="EAEAEA"/>
            <w:tcMar>
              <w:top w:w="120" w:type="dxa"/>
              <w:start w:w="120" w:type="dxa"/>
              <w:bottom w:w="120" w:type="dxa"/>
              <w:end w:w="120" w:type="dxa"/>
            </w:tcMar>
            <w:vAlign w:val="center"/>
          </w:tcPr>
          <w:p>
            <w:pPr>
              <w:jc w:val="center"/>
            </w:pPr>
            <w:r>
              <w:rPr>
                <w:rFonts w:ascii="Times New Roman" w:hAnsi="Times New Roman"/>
                <w:b/>
                <w:sz w:val="21"/>
              </w:rPr>
              <w:t>Allocation Category</w:t>
            </w:r>
          </w:p>
        </w:tc>
        <w:tc>
          <w:tcPr>
            <w:tcW w:type="dxa" w:w="4824"/>
            <w:shd w:fill="EAEAEA"/>
            <w:tcMar>
              <w:top w:w="120" w:type="dxa"/>
              <w:start w:w="120" w:type="dxa"/>
              <w:bottom w:w="120" w:type="dxa"/>
              <w:end w:w="120" w:type="dxa"/>
            </w:tcMar>
            <w:vAlign w:val="center"/>
          </w:tcPr>
          <w:p>
            <w:pPr>
              <w:jc w:val="center"/>
            </w:pPr>
            <w:r>
              <w:rPr>
                <w:rFonts w:ascii="Times New Roman" w:hAnsi="Times New Roman"/>
                <w:b/>
                <w:sz w:val="21"/>
              </w:rPr>
              <w:t>Allocated Amount</w:t>
            </w:r>
          </w:p>
        </w:tc>
      </w:tr>
      <w:tr>
        <w:tc>
          <w:tcPr>
            <w:tcW w:type="dxa" w:w="4824"/>
            <w:tcMar>
              <w:top w:w="120" w:type="dxa"/>
              <w:start w:w="120" w:type="dxa"/>
              <w:bottom w:w="120" w:type="dxa"/>
              <w:end w:w="120" w:type="dxa"/>
            </w:tcMar>
            <w:vAlign w:val="center"/>
          </w:tcPr>
          <w:p>
            <w:pPr>
              <w:jc w:val="left"/>
            </w:pPr>
            <w:r>
              <w:rPr>
                <w:rFonts w:ascii="Times New Roman" w:hAnsi="Times New Roman"/>
                <w:sz w:val="21"/>
              </w:rPr>
              <w:t>Inventory</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
            </w:r>
          </w:p>
        </w:tc>
      </w:tr>
      <w:tr>
        <w:tc>
          <w:tcPr>
            <w:tcW w:type="dxa" w:w="4824"/>
            <w:tcMar>
              <w:top w:w="120" w:type="dxa"/>
              <w:start w:w="120" w:type="dxa"/>
              <w:bottom w:w="120" w:type="dxa"/>
              <w:end w:w="120" w:type="dxa"/>
            </w:tcMar>
            <w:vAlign w:val="center"/>
          </w:tcPr>
          <w:p>
            <w:pPr>
              <w:jc w:val="left"/>
            </w:pPr>
            <w:r>
              <w:rPr>
                <w:rFonts w:ascii="Times New Roman" w:hAnsi="Times New Roman"/>
                <w:sz w:val="21"/>
              </w:rPr>
              <w:t>Furniture, Fixtures &amp; Equipment</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
            </w:r>
          </w:p>
        </w:tc>
      </w:tr>
      <w:tr>
        <w:tc>
          <w:tcPr>
            <w:tcW w:type="dxa" w:w="4824"/>
            <w:tcMar>
              <w:top w:w="120" w:type="dxa"/>
              <w:start w:w="120" w:type="dxa"/>
              <w:bottom w:w="120" w:type="dxa"/>
              <w:end w:w="120" w:type="dxa"/>
            </w:tcMar>
            <w:vAlign w:val="center"/>
          </w:tcPr>
          <w:p>
            <w:pPr>
              <w:jc w:val="left"/>
            </w:pPr>
            <w:r>
              <w:rPr>
                <w:rFonts w:ascii="Times New Roman" w:hAnsi="Times New Roman"/>
                <w:sz w:val="21"/>
              </w:rPr>
              <w:t>Goodwill</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
            </w:r>
          </w:p>
        </w:tc>
      </w:tr>
      <w:tr>
        <w:tc>
          <w:tcPr>
            <w:tcW w:type="dxa" w:w="4824"/>
            <w:tcMar>
              <w:top w:w="120" w:type="dxa"/>
              <w:start w:w="120" w:type="dxa"/>
              <w:bottom w:w="120" w:type="dxa"/>
              <w:end w:w="120" w:type="dxa"/>
            </w:tcMar>
            <w:vAlign w:val="center"/>
          </w:tcPr>
          <w:p>
            <w:pPr>
              <w:jc w:val="left"/>
            </w:pPr>
            <w:r>
              <w:rPr>
                <w:rFonts w:ascii="Times New Roman" w:hAnsi="Times New Roman"/>
                <w:sz w:val="21"/>
              </w:rPr>
              <w:t>Total Allocation</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
            </w:r>
          </w:p>
        </w:tc>
      </w:tr>
    </w:tbl>
    <w:p/>
    <w:p>
      <w:pPr>
        <w:pStyle w:val="Heading1"/>
      </w:pPr>
      <w:r>
        <w:t>4. CLOSING</w:t>
      </w:r>
    </w:p>
    <w:p>
      <w:pPr>
        <w:spacing w:after="80"/>
        <w:ind w:firstLine="432"/>
      </w:pPr>
      <w:r>
        <w:t xml:space="preserve">The closing of the transactions contemplated by this Agreement (the “Closing”) shall take place on April 02, 2026, or on such other date as the parties may mutually agree in writing. At Closing, Seller shall deliver possession of the Business and the Purchased Assets to Buyer, together with such assignments, bills of sale, consents, certificates, and ancillary documents as may be reasonably necessary to consummate the transaction.</w:t>
      </w:r>
    </w:p>
    <w:p>
      <w:pPr>
        <w:pStyle w:val="Heading1"/>
      </w:pPr>
      <w:r>
        <w:t>5. REPRESENTATIONS AND WARRANTIES OF SELLER</w:t>
      </w:r>
    </w:p>
    <w:p>
      <w:pPr>
        <w:spacing w:after="80"/>
        <w:ind w:firstLine="432"/>
      </w:pPr>
      <w:r>
        <w:t>Seller represents and warrants to Buyer that: (a) Seller has full power and authority to enter into and perform this Agreement; (b) Seller owns good and marketable title to the Purchased Assets, free and clear of all liens other than those expressly disclosed in writing; (c) to Seller’s knowledge, Seller has not received written notice of any pending litigation or governmental action that would materially impair the Purchased Assets or the operation of the Business; and (d) the execution and performance of this Agreement do not violate any agreement binding upon Seller.</w:t>
      </w:r>
    </w:p>
    <w:p>
      <w:pPr>
        <w:pStyle w:val="Heading1"/>
      </w:pPr>
      <w:r>
        <w:t>6. REPRESENTATIONS AND WARRANTIES OF BUYER</w:t>
      </w:r>
    </w:p>
    <w:p>
      <w:pPr>
        <w:spacing w:after="80"/>
        <w:ind w:firstLine="432"/>
      </w:pPr>
      <w:r>
        <w:t>Buyer represents and warrants to Seller that: (a) Buyer has full power and authority to enter into and perform this Agreement; (b) Buyer has, or at Closing will have, sufficient funds or financing to pay the consideration required under this Agreement; and (c) Buyer’s execution and performance of this Agreement do not violate any agreement binding upon Buyer.</w:t>
      </w:r>
    </w:p>
    <w:p>
      <w:pPr>
        <w:pStyle w:val="Heading1"/>
      </w:pPr>
      <w:r>
        <w:t>7. COVENANTS</w:t>
      </w:r>
    </w:p>
    <w:p>
      <w:pPr>
        <w:spacing w:after="80"/>
        <w:ind w:firstLine="432"/>
      </w:pPr>
      <w:r>
        <w:t xml:space="preserve">For a period of  year(s) following Closing, and within a radius of  mile(s) from the Business, Seller shall not, directly or indirectly, own, operate, manage, control, participate in, consult with, render services for, or otherwise assist any business substantially similar to the Business, except as may be expressly permitted in a separate Non-Compete Agreement executed at Closing.</w:t>
      </w:r>
    </w:p>
    <w:p>
      <w:pPr>
        <w:pStyle w:val="Heading1"/>
      </w:pPr>
      <w:r>
        <w:t>8. AS-IS / NO ADDITIONAL WARRANTIES</w:t>
      </w:r>
    </w:p>
    <w:p>
      <w:pPr>
        <w:spacing w:after="80"/>
        <w:ind w:firstLine="432"/>
      </w:pPr>
      <w:r>
        <w:t>Except as expressly set forth in this Agreement, Buyer acknowledges that the Purchased Assets are being transferred on an “AS IS, WHERE IS” basis, with all faults, and without any representation or warranty, express or implied, including any warranty of merchantability or fitness for a particular purpose.</w:t>
      </w:r>
    </w:p>
    <w:p>
      <w:pPr>
        <w:pStyle w:val="Heading1"/>
      </w:pPr>
      <w:r>
        <w:t>9. INDEMNIFICATION</w:t>
      </w:r>
    </w:p>
    <w:p>
      <w:pPr>
        <w:spacing w:after="80"/>
        <w:ind w:firstLine="432"/>
      </w:pPr>
      <w:r>
        <w:t>Each party shall indemnify, defend, and hold harmless the other party from and against any losses, liabilities, damages, claims, costs, and expenses arising out of any material breach of this Agreement by the indemnifying party.</w:t>
      </w:r>
    </w:p>
    <w:p>
      <w:pPr>
        <w:pStyle w:val="Heading1"/>
      </w:pPr>
      <w:r>
        <w:t>10. GOVERNING LAW</w:t>
      </w:r>
    </w:p>
    <w:p>
      <w:pPr>
        <w:spacing w:after="80"/>
        <w:ind w:firstLine="432"/>
      </w:pPr>
      <w:r>
        <w:t xml:space="preserve">This Agreement shall be governed by and construed in accordance with the laws of the State of , without regard to its conflict-of-laws principles.</w:t>
      </w:r>
    </w:p>
    <w:p>
      <w:pPr>
        <w:pStyle w:val="Heading1"/>
      </w:pPr>
      <w:r>
        <w:t>11. MISCELLANEOUS</w:t>
      </w:r>
    </w:p>
    <w:p>
      <w:pPr>
        <w:spacing w:after="80"/>
        <w:ind w:firstLine="432"/>
      </w:pPr>
      <w:r>
        <w:t>This Agreement constitutes the entire understanding between the parties with respect to the subject matter hereof and supersedes all prior negotiations, discussions, and agreements. This Agreement may be amended only by a written instrument signed by both parties. If any provision of this Agreement is held unenforceable, the remaining provisions shall remain in full force and effect. This Agreement may be executed in counterparts and by electronic signature, each of which shall be deemed an original and all of which together shall constitute one instrument.</w:t>
      </w:r>
    </w:p>
    <w:p>
      <w:pPr>
        <w:pStyle w:val="Heading2"/>
      </w:pPr>
      <w:r>
        <w:t>Schedule 1 — Key Equipment Included in Sale</w:t>
      </w:r>
    </w:p>
    <w:p>
      <w:r>
        <w:t xml:space="preserve"/>
      </w:r>
    </w:p>
    <w:p/>
    <w:p>
      <w:pPr>
        <w:pStyle w:val="Heading2"/>
      </w:pPr>
      <w:r>
        <w:t>Schedule 2 — Closing Deliverables</w:t>
      </w:r>
    </w:p>
    <w:p>
      <w:r>
        <w:t xml:space="preserve"/>
      </w:r>
    </w:p>
    <w:p/>
    <w:p>
      <w:r>
        <w:br w:type="page"/>
      </w:r>
    </w:p>
    <w:p>
      <w:pPr>
        <w:pStyle w:val="Heading1"/>
      </w:pPr>
      <w:r>
        <w:t>SIGNATURES</w:t>
      </w:r>
    </w:p>
    <w:p>
      <w:r>
        <w:t>IN WITNESS WHEREOF, the parties have executed this Agreement as of the date first written above.</w:t>
      </w:r>
    </w:p>
    <w:tbl>
      <w:tblPr>
        <w:tblW w:type="auto" w:w="0"/>
        <w:jc w:val="center"/>
        <w:tblLook w:firstColumn="1" w:firstRow="1" w:lastColumn="0" w:lastRow="0" w:noHBand="0" w:noVBand="1" w:val="04A0"/>
      </w:tblPr>
      <w:tblGrid>
        <w:gridCol w:w="4824"/>
        <w:gridCol w:w="4824"/>
      </w:tblGrid>
      <w:tr>
        <w:tc>
          <w:tcPr>
            <w:tcW w:type="dxa" w:w="4824"/>
            <w:tcMar>
              <w:top w:w="120" w:type="dxa"/>
              <w:start w:w="120" w:type="dxa"/>
              <w:bottom w:w="120" w:type="dxa"/>
              <w:end w:w="120" w:type="dxa"/>
            </w:tcMar>
            <w:vAlign w:val="center"/>
          </w:tcPr>
          <w:p>
            <w:r>
              <w:rPr>
                <w:rFonts w:ascii="Times New Roman" w:hAnsi="Times New Roman"/>
                <w:b/>
                <w:sz w:val="22"/>
              </w:rPr>
              <w:t>SELLER:</w:t>
            </w:r>
          </w:p>
        </w:tc>
        <w:tc>
          <w:tcPr>
            <w:tcW w:type="dxa" w:w="4824"/>
            <w:tcMar>
              <w:top w:w="120" w:type="dxa"/>
              <w:start w:w="120" w:type="dxa"/>
              <w:bottom w:w="120" w:type="dxa"/>
              <w:end w:w="120" w:type="dxa"/>
            </w:tcMar>
            <w:vAlign w:val="center"/>
          </w:tcPr>
          <w:p>
            <w:r>
              <w:rPr>
                <w:rFonts w:ascii="Times New Roman" w:hAnsi="Times New Roman"/>
                <w:b/>
                <w:sz w:val="22"/>
              </w:rPr>
              <w:t>BUYER:</w:t>
            </w:r>
          </w:p>
        </w:tc>
      </w:tr>
      <w:tr>
        <w:tc>
          <w:tcPr>
            <w:tcW w:type="dxa" w:w="4824"/>
            <w:tcMar>
              <w:top w:w="120" w:type="dxa"/>
              <w:start w:w="120" w:type="dxa"/>
              <w:bottom w:w="120" w:type="dxa"/>
              <w:end w:w="120" w:type="dxa"/>
            </w:tcMar>
            <w:vAlign w:val="center"/>
          </w:tcPr>
          <w:p>
            <w:r>
              <w:rPr>
                <w:rFonts w:ascii="Times New Roman" w:hAnsi="Times New Roman"/>
                <w:b/>
                <w:sz w:val="22"/>
              </w:rPr>
              <w:t xml:space="preserve">Daniel Jeong</w:t>
            </w:r>
          </w:p>
        </w:tc>
        <w:tc>
          <w:tcPr>
            <w:tcW w:type="dxa" w:w="4824"/>
            <w:tcMar>
              <w:top w:w="120" w:type="dxa"/>
              <w:start w:w="120" w:type="dxa"/>
              <w:bottom w:w="120" w:type="dxa"/>
              <w:end w:w="120" w:type="dxa"/>
            </w:tcMar>
            <w:vAlign w:val="center"/>
          </w:tcPr>
          <w:p>
            <w:r>
              <w:rPr>
                <w:rFonts w:ascii="Times New Roman" w:hAnsi="Times New Roman"/>
                <w:b/>
                <w:sz w:val="22"/>
              </w:rPr>
              <w:t xml:space="preserve">John Smith</w:t>
            </w:r>
          </w:p>
        </w:tc>
      </w:tr>
      <w:tr>
        <w:tc>
          <w:tcPr>
            <w:tcW w:type="dxa" w:w="4824"/>
            <w:tcMar>
              <w:top w:w="120" w:type="dxa"/>
              <w:start w:w="120" w:type="dxa"/>
              <w:bottom w:w="120" w:type="dxa"/>
              <w:end w:w="120" w:type="dxa"/>
            </w:tcMar>
            <w:vAlign w:val="center"/>
          </w:tcPr>
          <w:p>
            <w:r>
              <w:rPr>
                <w:rFonts w:ascii="Times New Roman" w:hAnsi="Times New Roman"/>
                <w:sz w:val="22"/>
              </w:rPr>
              <w:t>By: _______________________________</w:t>
            </w:r>
          </w:p>
        </w:tc>
        <w:tc>
          <w:tcPr>
            <w:tcW w:type="dxa" w:w="4824"/>
            <w:tcMar>
              <w:top w:w="120" w:type="dxa"/>
              <w:start w:w="120" w:type="dxa"/>
              <w:bottom w:w="120" w:type="dxa"/>
              <w:end w:w="120" w:type="dxa"/>
            </w:tcMar>
            <w:vAlign w:val="center"/>
          </w:tcPr>
          <w:p>
            <w:r>
              <w:rPr>
                <w:rFonts w:ascii="Times New Roman" w:hAnsi="Times New Roman"/>
                <w:sz w:val="22"/>
              </w:rPr>
              <w:t>By: _______________________________</w:t>
            </w:r>
          </w:p>
        </w:tc>
      </w:tr>
      <w:tr>
        <w:tc>
          <w:tcPr>
            <w:tcW w:type="dxa" w:w="4824"/>
            <w:tcMar>
              <w:top w:w="120" w:type="dxa"/>
              <w:start w:w="120" w:type="dxa"/>
              <w:bottom w:w="120" w:type="dxa"/>
              <w:end w:w="120" w:type="dxa"/>
            </w:tcMar>
            <w:vAlign w:val="center"/>
          </w:tcPr>
          <w:p>
            <w:r>
              <w:rPr>
                <w:rFonts w:ascii="Times New Roman" w:hAnsi="Times New Roman"/>
                <w:sz w:val="22"/>
              </w:rPr>
              <w:t>Name / Title: ______________________</w:t>
            </w:r>
          </w:p>
        </w:tc>
        <w:tc>
          <w:tcPr>
            <w:tcW w:type="dxa" w:w="4824"/>
            <w:tcMar>
              <w:top w:w="120" w:type="dxa"/>
              <w:start w:w="120" w:type="dxa"/>
              <w:bottom w:w="120" w:type="dxa"/>
              <w:end w:w="120" w:type="dxa"/>
            </w:tcMar>
            <w:vAlign w:val="center"/>
          </w:tcPr>
          <w:p>
            <w:r>
              <w:rPr>
                <w:rFonts w:ascii="Times New Roman" w:hAnsi="Times New Roman"/>
                <w:sz w:val="22"/>
              </w:rPr>
              <w:t>Name / Title: ______________________</w:t>
            </w:r>
          </w:p>
        </w:tc>
      </w:tr>
    </w:tbl>
    <w:p/>
    <w:p/>
    <w:sectPr w:rsidR="00FC693F" w:rsidRPr="0006063C" w:rsidSect="00034616">
      <w:headerReference w:type="default" r:id="rId9"/>
      <w:footerReference w:type="default" r:id="rId10"/>
      <w:pgSz w:w="12240" w:h="15840"/>
      <w:pgMar w:top="1224"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Confidential Closing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sz w:val="18"/>
      </w:rPr>
      <w:t>PactAnchor — Asset Purchase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6293B"/>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33333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6293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