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Style w:val="6"/>
          <w:rFonts w:hint="eastAsia" w:ascii="Arial" w:hAnsi="Arial" w:eastAsia="宋体" w:cs="Arial"/>
          <w:b/>
          <w:i w:val="0"/>
          <w:caps w:val="0"/>
          <w:color w:val="70707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  <w:lang w:val="en-US" w:eastAsia="zh-CN"/>
        </w:rPr>
        <w:t>Author：管艳丽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wxshopRegistController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/wxshop/get_sms_code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获取短信验证码接口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userMobile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注册时可不传值，忘记密码时传“forgetPassword”</w:t>
            </w:r>
          </w:p>
        </w:tc>
      </w:tr>
    </w:tbl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wxshopRegistController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/wxshop/confirm_sms_code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短信验证码校验 时限60s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userMobile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</w:tbl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wxshopRegistController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/wxshop/user_regist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用户注册提交操作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userMobile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 必填</w:t>
            </w:r>
          </w:p>
        </w:tc>
      </w:tr>
    </w:tbl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wxshopRegistController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update_user_password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用户忘记密码提交操作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userMobile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 必填</w:t>
            </w:r>
          </w:p>
        </w:tc>
      </w:tr>
    </w:tbl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320"/>
        <w:gridCol w:w="187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8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3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87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91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2018-03-21T03:50:30Z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