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center"/>
      </w:pPr>
      <w:r>
        <w:rPr>
          <w:rFonts w:ascii="Calibri" w:hAnsi="Calibri" w:eastAsia="Noto Sans CJK SC"/>
          <w:b/>
          <w:color w:val="183757"/>
          <w:sz w:val="38"/>
        </w:rPr>
        <w:t>空间多组学聚类方法评估与方法设计（BSRR 更新版）</w:t>
      </w:r>
    </w:p>
    <w:p>
      <w:pPr>
        <w:spacing w:after="240"/>
        <w:jc w:val="center"/>
      </w:pPr>
      <w:r>
        <w:rPr>
          <w:rFonts w:ascii="Calibri" w:hAnsi="Calibri" w:eastAsia="Noto Sans CJK SC"/>
          <w:color w:val="595959"/>
          <w:sz w:val="21"/>
        </w:rPr>
        <w:t>基于现有多粒度多视图框架的全面重新评估｜更新至 2026 年 9 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Noto Sans CJK SC"/>
                <w:b/>
                <w:color w:val="1F4E79"/>
                <w:sz w:val="21"/>
              </w:rPr>
              <w:t>更新后的核心结论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Noto Sans CJK SC"/>
                <w:sz w:val="20"/>
              </w:rPr>
              <w:t>加入 BSRR 后，当前方法不再只是“MGCMVC 风格训练核心 + spatial multi-omics 图输入”的组合。最终 readout 也显式使用空间邻域与潜在表示的一致性，因此方法链条更闭环、空间特异性更强。创新性可从“中等的组合/迁移创新”上调为“中等偏上的应用方法与系统级创新”，但仍不应包装成全新的基础算法范式。BSRR 目前只有 E18.5 的零训练可行性证据，正式结论仍需多数据集、10 seeds 与消融实验支持。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1. 当前方法的最终版本：方法链条已经发生了什么变化？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原始版本的核心问题不是网络不完整，而是训练阶段与最终聚类阶段存在明显“断点”：训练中学习了多粒度表示 Gᵥ、全局表示 U、WD view weights、sample-level contrastive loss 与 cluster-level contrastive loss，但正式结果最后仍回到 concat(Zᵥ) → KMeans。这样虽然梯度会间接影响 Zᵥ，但最终聚类并没有显式使用空间结构。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加入 Boundary-aware Spatial Residual Refinement（BSRR）后，正式方法固定为：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RNA / ADT / ATAC + spatial coordinates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↓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modality-specific spatial graph + feature graph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↓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four graph-specific GCN views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↓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view-specific AE → fine representation Zᵥ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├─→ coarse representation Hᵥ → MG fusion → Gᵥ → global U + WD → sample-level CL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└─→ ClusterHead → Qᵥ → Pᵥ → cluster-level CL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↓ joint optimization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concat(Z₁, Z₂, Z₃, Z₄)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↓</w:t>
      </w:r>
    </w:p>
    <w:p>
      <w:pPr>
        <w:spacing w:after="30"/>
        <w:jc w:val="center"/>
      </w:pPr>
      <w:r>
        <w:rPr>
          <w:rFonts w:ascii="Calibri" w:hAnsi="Calibri" w:eastAsia="Noto Sans CJK SC"/>
          <w:b/>
          <w:sz w:val="20"/>
        </w:rPr>
        <w:t>Boundary-aware Spatial Residual Refinement (BSRR)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↓</w:t>
      </w:r>
    </w:p>
    <w:p>
      <w:pPr>
        <w:spacing w:after="30"/>
        <w:jc w:val="center"/>
      </w:pPr>
      <w:r>
        <w:rPr>
          <w:rFonts w:ascii="Calibri" w:hAnsi="Calibri" w:eastAsia="Noto Sans CJK SC"/>
          <w:b/>
          <w:sz w:val="20"/>
        </w:rPr>
        <w:t>KMeans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↓</w:t>
      </w:r>
    </w:p>
    <w:p>
      <w:pPr>
        <w:spacing w:after="30"/>
        <w:jc w:val="center"/>
      </w:pPr>
      <w:r>
        <w:rPr>
          <w:rFonts w:ascii="Calibri" w:hAnsi="Calibri" w:eastAsia="Noto Sans CJK SC"/>
          <w:b w:val="0"/>
          <w:sz w:val="20"/>
        </w:rPr>
        <w:t>spatial domains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正式输出仍然是无监督聚类标签；Q/P 只用于 cluster-level training regularization 与诊断，不再与正式结果混用。BSRR 关闭时必须严格退化回原始 concat-Z → KMeans，以保证消融实验干净。</w:t>
      </w: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2. 新增小模块 BSRR：为什么它比简单空间平滑更适合当前框架？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BSRR 的设计目标不是重新训练一个新网络，而是在最终 concat-Z 与 KMeans 之间做一次轻量、无额外可训练参数的空间一致性校正。它同时考虑“物理空间是否接近”和“潜在表示是否相似”，因此不会把所有空间邻居一视同仁。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对 spot i，先定义最终基础表示：</w:t>
      </w:r>
    </w:p>
    <w:p>
      <w:pPr>
        <w:spacing w:before="40" w:after="100"/>
        <w:jc w:val="center"/>
      </w:pPr>
      <w:r>
        <w:rPr>
          <w:rFonts w:ascii="Cambria" w:hAnsi="Cambria" w:eastAsia="Noto Serif CJK SC"/>
          <w:sz w:val="21"/>
        </w:rPr>
        <w:t>zᵢ = [ zᵢ¹ ∥ zᵢ² ∥ zᵢ³ ∥ zᵢ⁴ ]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对 spatial graph 中的邻居 j ∈ Nₛ(i)，利用 L2-normalized latent representation ẑ 计算表示距离，同时保留空间距离 dᵢⱼ。边权为：</w:t>
      </w:r>
    </w:p>
    <w:p>
      <w:pPr>
        <w:spacing w:before="40" w:after="100"/>
        <w:jc w:val="center"/>
      </w:pPr>
      <w:r>
        <w:rPr>
          <w:rFonts w:ascii="Cambria" w:hAnsi="Cambria" w:eastAsia="Noto Serif CJK SC"/>
          <w:sz w:val="21"/>
        </w:rPr>
        <w:t>aᵢⱼ = exp(−dᵢⱼ² / (2σₛ²)) · exp(−||ẑᵢ − ẑⱼ||² / (2σ_z²))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其中 σₛ 取 spatial graph 邻接边空间距离的中位数，σ_z 取同一批空间邻接边在 normalized latent space 中距离的中位数。两者由当前数据自动确定，不使用 GT、ARI 或 NMI 调参。</w:t>
      </w:r>
    </w:p>
    <w:p>
      <w:pPr>
        <w:spacing w:before="40" w:after="100"/>
        <w:jc w:val="center"/>
      </w:pPr>
      <w:r>
        <w:rPr>
          <w:rFonts w:ascii="Cambria" w:hAnsi="Cambria" w:eastAsia="Noto Serif CJK SC"/>
          <w:sz w:val="21"/>
        </w:rPr>
        <w:t>z̄ᵢᴺ = (Σⱼ aᵢⱼ zⱼ) / (Σⱼ aᵢⱼ)</w:t>
      </w:r>
    </w:p>
    <w:p>
      <w:pPr>
        <w:spacing w:before="40" w:after="100"/>
        <w:jc w:val="center"/>
      </w:pPr>
      <w:r>
        <w:rPr>
          <w:rFonts w:ascii="Cambria" w:hAnsi="Cambria" w:eastAsia="Noto Serif CJK SC"/>
          <w:sz w:val="21"/>
        </w:rPr>
        <w:t>cᵢ = (1 / |Nₛ(i)|) Σⱼ aᵢⱼ</w:t>
      </w:r>
    </w:p>
    <w:p>
      <w:pPr>
        <w:spacing w:before="40" w:after="100"/>
        <w:jc w:val="center"/>
      </w:pPr>
      <w:r>
        <w:rPr>
          <w:rFonts w:ascii="Cambria" w:hAnsi="Cambria" w:eastAsia="Noto Serif CJK SC"/>
          <w:sz w:val="21"/>
        </w:rPr>
        <w:t>zᵢ* = (zᵢ + cᵢ z̄ᵢᴺ) / (1 + cᵢ)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这个 residual update 的关键是保留原始 zᵢ 的主导作用。空间上相邻但 latent representation 差异较大的点得到较低 affinity，因此在组织边界附近传播自然减弱；空间与潜在表示同时一致时才进行更强的局部校正。需要注意，“boundary-aware”是机制上的含义，并不是使用了真实边界标签，也不是一个显式边界检测器。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Noto Sans CJK SC"/>
                <w:b/>
                <w:color w:val="1F4E79"/>
                <w:sz w:val="21"/>
              </w:rPr>
              <w:t>BSRR 的角色定位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Noto Sans CJK SC"/>
                <w:sz w:val="20"/>
              </w:rPr>
              <w:t>BSRR 是 final representation refinement，而不是新的 encoder、attention backbone 或额外训练损失。它的价值在于让最终 readout 与空间结构重新闭环，同时保持模型主体不变、计算开销小、消融简单。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3. 与最接近方法的流程对比：加入 BSRR 后，真正的差异在哪里？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截至 2026 年 9 月，空间多组学聚类已经非常拥挤。MGCMVC、SMMGCL、SMGC、CoMo、SpaAlign、SpaMCA、SpaMM-Net 等工作分别覆盖了多粒度、多视图图建模、邻域对比、聚类一致性、跨模态对齐或多尺度空间学习。因此，论文不能把已有模块单独包装成“首次提出”。真正要强调的是当前完整 pipeline 的组合逻辑以及 BSRR 对最终 readout 的空间特异修正。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方法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任务/核心机制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最终表示/聚类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与当前方法的主要重合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加入 BSRR 后的关键差异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MGCMVC</w:t>
              <w:br/>
              <w:t>TNNLS 2025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普通多视图聚类；fine/coarse granularity、MG fusion、WD adaptive weighting、sample-level + cluster-level CL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多 view Q 平均后得到聚类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训练核心高度重合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当前方法引入 spatial/feature graph views，并在 concat-Z 后增加空间-潜在双亲和 residual refinement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SMMGCL</w:t>
              <w:br/>
              <w:t>BIBM 2024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空间多组学；spot-level / graph-level 表示；graph contrastive + pseudo-label consistency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融合表示用于 spatial domains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任务场景和 graph-contrastive 思路接近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当前方法采用四 graph views + MGCMVC-style multigranularity，并用 BSRR 直接修正 final readout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SMGC</w:t>
              <w:br/>
              <w:t>ESWA 2026/2027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空间多组学；多个 graph-specific views；multi-view AE；granular-ball local contrastive learning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融合表示后聚类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空间图、多视图、局部结构利用高度接近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当前方法的训练目标与粒球机制不同，并增加 parameter-free BSRR；但 SMGC 仍是最强直接竞争者之一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CoMo</w:t>
              <w:br/>
              <w:t>BIB 2026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cross-modal graph learning；neighbor-aware + cluster-aware contrastive learning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refined fused embedding 用于下游聚类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空间邻域对比 + cluster-aware learning 接近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当前方法强调 multigranularity / WD / 四 graph views，并把空间修正放在最终 concat-Z readout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SpaAlign</w:t>
              <w:br/>
              <w:t>Bioinformatics 2026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两阶段：cross-modal contrastive alignment + deep clustering；可融合 histology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联合 fine-tuning 后 refined embedding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跨模态对齐与 clustering-friendly representation 目标接近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当前方法不依赖 histology/CLIP-style alignment，而采用 graph-view multigranularity + BSRR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SpaMCA</w:t>
              <w:br/>
              <w:t>Pattern Recognition 2026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multi-view masked graph AE；spatial + feature graphs；attention fusion；semantic distribution alignment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统一 latent representation + clustering alignment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multi-view spatial/feature graph 构建非常接近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当前方法没有 masked graph/semantic alignment，差异集中在 multigranularity dual-CL + BSRR final refinement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SpaMM-Net</w:t>
              <w:br/>
              <w:t>BMC Genomics 2026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spatially guided cross-attention + K-hop multiscale graph modules + scale-wise fusion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multiscale unified embedding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强调空间结构和多尺度信息，概念上与“多粒度”容易混淆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当前 granularity 是 feature-level fine/coarse，不是 K-hop spatial scale；BSRR 是 final boundary-aware refinement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5"/>
              </w:rPr>
              <w:t>当前方法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spatial/feature 四视图 + GCN + view-specific AE + MG fusion + WD + sample/cluster CL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concat-Z → BSRR → KMeans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—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5"/>
              </w:rPr>
              <w:t>最有辨识度的是“MGCMVC-style multigranularity training + spatial multi-view graphs + BSRR final readout”的完整闭环</w:t>
            </w:r>
          </w:p>
        </w:tc>
      </w:tr>
    </w:tbl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重要变化：加入 BSRR 后，“当前方法 vs MGCMVC”的区别不再只是输入图换成 spatial multi-omics；“当前方法 vs SMGC/SpaMCA”的区别也不再只是换一个 contrastive loss。最终 readout 本身新增了一个明确的空间特异机制，因此方法故事更完整。</w:t>
      </w: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4. 创新性重新评估：加入 BSRR 后，创新水平应如何表述？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维度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BSRR 加入前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BSRR 加入后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当前判断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基础算法创新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MG/WD/sample-CL/cluster-CL 大量继承 MGCMVC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新增 BSRR，但基本思想仍属于 affinity/refinement 范畴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中等；不是新的基础算法范式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空间特异性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主要依靠 spatial graph 输入，final readout 不显式空间化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BSRR 在最终表示阶段再次利用 spatial + latent consistency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明显增强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方法闭环性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训练机制丰富，但 concat-Z → KMeans 与前文空间建模衔接弱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representation learning → spatial refinement → clustering 更完整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明显增强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系统/组合创新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多模块组合但容易被认为是 MGCMVC 的场景迁移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完整 pipeline 更有辨识度，BSRR 成为独立贡献点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中等偏上（应用方法层面）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审稿风险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“组合已有模块”风险高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风险降低，但 BSRR 仍可能被评价为轻量后处理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需要多数据集消融和效率/边界分析支撑</w:t>
            </w:r>
          </w:p>
        </w:tc>
      </w:tr>
    </w:tbl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因此，当前方法最合适的定位不是“强理论创新”，而是“面向 spatial multi-omics clustering 的完整方法设计创新”：利用四个 graph-specific views 学习多粒度互补表示，再通过 BSRR 将最终 latent embedding 与空间局部一致性显式耦合。若 5 个真实数据集与 10 seeds 的结果稳定，投稿普通 SCI 方法类/AI+Bio/计算生物学期刊具备合理的方法贡献形态。</w:t>
      </w: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5. 论文贡献点应该怎么重新写？哪些可以强调，哪些不能强调？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建议把贡献拆成“框架贡献、空间特异贡献、实验贡献”三层，而不是把每个已有模块都称为创新。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贡献 1（框架层）：构建面向 spatial multi-omics 的四视图表示学习框架，在每个 modality 内同时建模 spatial graph 与 feature graph，并在 view-specific encoder 后进行 fine/coarse multigranularity representation learning。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贡献 2（最强、最应强调）：提出 BSRR，在最终 concat-Z 进入 KMeans 前，利用空间距离与 latent 距离的双亲和估计局部可信度，并采用保守 residual update 修正表示；无需额外可训练参数。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贡献 3（验证层）：在多种 RNA+ADT / RNA+ATAC 数据上用统一 readout、10 seeds mean±std、空间域可视化、机制消融与生物学分析验证方法。</w:t>
      </w:r>
    </w:p>
    <w:p>
      <w:pPr>
        <w:spacing w:after="100" w:line="283" w:lineRule="auto"/>
      </w:pPr>
      <w:r>
        <w:rPr>
          <w:rFonts w:ascii="Calibri" w:hAnsi="Calibri" w:eastAsia="Noto Sans CJK SC"/>
          <w:b/>
          <w:sz w:val="21"/>
        </w:rPr>
        <w:t>下面这些表述不要写成“首次”：</w:t>
      </w:r>
      <w:r>
        <w:rPr>
          <w:rFonts w:ascii="Calibri" w:hAnsi="Calibri" w:eastAsia="Noto Sans CJK SC"/>
          <w:sz w:val="21"/>
        </w:rPr>
      </w:r>
    </w:p>
    <w:p>
      <w:pPr>
        <w:pStyle w:val="ListBullet2"/>
        <w:spacing w:after="50" w:line="264" w:lineRule="auto"/>
      </w:pPr>
      <w:r>
        <w:rPr>
          <w:rFonts w:ascii="Calibri" w:hAnsi="Calibri" w:eastAsia="Noto Sans CJK SC"/>
          <w:sz w:val="20"/>
        </w:rPr>
        <w:t>multi-granularity / fine-coarse representation learning 本身。</w:t>
      </w:r>
    </w:p>
    <w:p>
      <w:pPr>
        <w:pStyle w:val="ListBullet2"/>
        <w:spacing w:after="50" w:line="264" w:lineRule="auto"/>
      </w:pPr>
      <w:r>
        <w:rPr>
          <w:rFonts w:ascii="Calibri" w:hAnsi="Calibri" w:eastAsia="Noto Sans CJK SC"/>
          <w:sz w:val="20"/>
        </w:rPr>
        <w:t>Wasserstein-distance adaptive view weighting 本身。</w:t>
      </w:r>
    </w:p>
    <w:p>
      <w:pPr>
        <w:pStyle w:val="ListBullet2"/>
        <w:spacing w:after="50" w:line="264" w:lineRule="auto"/>
      </w:pPr>
      <w:r>
        <w:rPr>
          <w:rFonts w:ascii="Calibri" w:hAnsi="Calibri" w:eastAsia="Noto Sans CJK SC"/>
          <w:sz w:val="20"/>
        </w:rPr>
        <w:t>sample-level contrastive learning 或 cluster-level contrastive learning 本身。</w:t>
      </w:r>
    </w:p>
    <w:p>
      <w:pPr>
        <w:pStyle w:val="ListBullet2"/>
        <w:spacing w:after="50" w:line="264" w:lineRule="auto"/>
      </w:pPr>
      <w:r>
        <w:rPr>
          <w:rFonts w:ascii="Calibri" w:hAnsi="Calibri" w:eastAsia="Noto Sans CJK SC"/>
          <w:sz w:val="20"/>
        </w:rPr>
        <w:t>spatial graph + feature graph、多视图图学习或邻域对比本身。</w:t>
      </w:r>
    </w:p>
    <w:p>
      <w:pPr>
        <w:pStyle w:val="ListBullet2"/>
        <w:spacing w:after="50" w:line="264" w:lineRule="auto"/>
      </w:pPr>
      <w:r>
        <w:rPr>
          <w:rFonts w:ascii="Calibri" w:hAnsi="Calibri" w:eastAsia="Noto Sans CJK SC"/>
          <w:sz w:val="20"/>
        </w:rPr>
        <w:t>“首次把 multi-level / multi-granularity graph contrastive learning 用于 spatial multi-omics”。SMMGCL 等工作已经使这类表述站不住。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Noto Sans CJK SC"/>
                <w:b/>
                <w:color w:val="1F4E79"/>
                <w:sz w:val="21"/>
              </w:rPr>
              <w:t>推荐的英文贡献表述方向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Noto Sans CJK SC"/>
                <w:sz w:val="20"/>
              </w:rPr>
              <w:t>“We develop a spatially informed multiview clustering framework that couples modality-specific spatial/feature graph representations with multigranularity contrastive learning. To align the final clustering representation with local tissue structure, we further introduce a lightweight boundary-aware spatial residual refinement module that jointly considers spatial proximity and latent similarity before K-means clustering.”</w:t>
              <w:br/>
              <w:br/>
              <w:t>避免使用 “the first” 或 “novel multigranularity/WD/dual-contrastive learning” 之类容易被文献反驳的表述。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6. BSRR 当前实验证据：有效，但还只是 feasibility evidence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目前 BSRR 只在 E18.5 的两份已保存 embedding 上做了零训练测试。两个 checkpoint 的 ARI 和 NMI 都同方向改善，这是一个积极信号；但由于模块是在查看 E18.5 结果后提出的，不能把这两次结果当成独立泛化证明。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7"/>
              </w:rPr>
              <w:t>E18.5 checkpoint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7"/>
              </w:rPr>
              <w:t>原 concat-Z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7"/>
              </w:rPr>
              <w:t>BSRR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7"/>
              </w:rPr>
              <w:t>变化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7"/>
              </w:rPr>
              <w:t>结论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7"/>
              </w:rPr>
              <w:t>50 epochs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7"/>
              </w:rPr>
              <w:t>ARI 0.441822</w:t>
              <w:br/>
              <w:t>NMI 0.532442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7"/>
              </w:rPr>
              <w:t>ARI 0.452612</w:t>
              <w:br/>
              <w:t>NMI 0.536439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7"/>
              </w:rPr>
              <w:t>ΔARI +0.010790</w:t>
              <w:br/>
              <w:t>ΔNMI +0.003996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7"/>
              </w:rPr>
              <w:t>小幅但双指标一致改善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7"/>
              </w:rPr>
              <w:t>200 epochs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7"/>
              </w:rPr>
              <w:t>ARI 0.328863</w:t>
              <w:br/>
              <w:t>NMI 0.533971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7"/>
              </w:rPr>
              <w:t>ARI 0.418834</w:t>
              <w:br/>
              <w:t>NMI 0.553210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7"/>
              </w:rPr>
              <w:t>ΔARI +0.089971</w:t>
              <w:br/>
              <w:t>ΔNMI +0.019239</w:t>
            </w:r>
          </w:p>
        </w:tc>
        <w:tc>
          <w:tcPr>
            <w:tcW w:type="dxa" w:w="19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7"/>
              </w:rPr>
              <w:t>明显恢复 ARI，同时提高 NMI</w:t>
            </w:r>
          </w:p>
        </w:tc>
      </w:tr>
    </w:tbl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对比过的两个备选 refinement 也有助于解释为什么最终保留 BSRR：LSRG 通过 spot-specific view reweighting 在两个 checkpoint 上都明显退化；MSER 虽然 NMI 略高，但 ARI consistently 低于 BSRR，而且增加 reciprocal latent-neighbor 筛选与 latent_k 等额外机制。BSRR 因此在“效果、简单性、解释性”之间更平衡。</w:t>
      </w: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7. 当前指标放在已发表 baseline 中是什么位置？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以 SMGC 原论文 Table 2 的 E18.5 报告结果为参照（这些是文献报告值，不是当前项目复现实验），当前 E18.5 50-epoch + BSRR 的单次结果 ARI/NMI = 0.4526/0.5364，数值上同时高于 COSMOS、MISO、PRAGA，但低于 PRESENT、SpatialGlue 和 SMGC。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方法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E18.5 ARI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E18.5 NMI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来源/说明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PRESENT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0.5054 ± 0.0282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0.6061 ± 0.0150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SMGC paper Table 2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SpatialGlue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0.5025 ± 0.0681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0.5756 ± 0.0203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SMGC paper Table 2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COSMOS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0.1938 ± 0.0687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0.4955 ± 0.0168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SMGC paper Table 2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MISO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0.1765 ± 0.0185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0.2445 ± 0.0280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SMGC paper Table 2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PRAGA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0.2562 ± 0.0819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0.3772 ± 0.0545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SMGC paper Table 2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SMGC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0.5877 ± 0.0186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0.5842 ± 0.0059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SMGC paper Table 2</w:t>
            </w:r>
          </w:p>
        </w:tc>
      </w:tr>
      <w:tr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当前方法 + BSRR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0.4526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0.5364</w:t>
            </w:r>
          </w:p>
        </w:tc>
        <w:tc>
          <w:tcPr>
            <w:tcW w:type="dxa" w:w="2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E18.5 单次 50-epoch feasibility；非 10-seed mean</w:t>
            </w:r>
          </w:p>
        </w:tc>
      </w:tr>
    </w:tbl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因此，当前状态不是“完全没有竞争力”：在 E18.5 这一份单次结果上，已经超过 3 个已发表 baseline 的均值。但不能写成“显著优于”或“排名第几”的正式论文结论，因为 baseline 是 10 次实验 mean±std，而当前 BSRR 结果只是单次 run。最终主表必须用同一协议下的 10 seeds mean±std。</w:t>
      </w: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8. 当前方法仍然有哪些真实风险？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BSRR 是后置 refinement 而不是训练内模块。优点是轻量和可审计，缺点是审稿人可能认为它是 heuristic/post-processing。应通过 parameter-free 设计、复杂度分析、消融和边界区域案例证明它不是“为了刷分的平滑”。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“boundary-aware”目前是机制解释，而不是边界监督。若后续条件允许，可增加 boundary-specific qualitative analysis（组织边界 zoom-in、boundary spot consistency），但不要为了证明这个名称引入 GT-driven 训练。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E18.5 中 WD view weights 接近均匀，说明 adaptive weighting 在这个数据上的实际作用可能有限。论文不能把 WD 当成最强 empirical contribution；需要跨数据集权重分析。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历史单次消融显示 cluster-level loss 对 Q 影响很大，但对最终 concat-Z 的收益并不稳定。正式论文必须以最终 BSRR readout 做多 seed ablation，再决定 cluster loss 的贡献怎么写。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KMeans 对同一 embedding 的初始化存在明显波动。因此正式协议应固定 KMeans random_state=0、n_init=20，并将其与 training seed 分离；training seed 变化用于统计模型随机性。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E18.5 的 RNA+ATAC preprocessing 仍可能是性能瓶颈。当前先不要和 BSRR 同时改变预处理；若后续整体性能仍不足，再把 ATAC PCA 与 TF-IDF+LSI 作为单独、预先定义的 preprocessing study。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50 epochs 在当前 E18.5 上高于 200 epochs，但不能因为看过 GT 后直接选择 50 作为“最佳 epoch”。主实验训练长度应由外部协议、固定设定或无监督准则决定，并在正式实验前冻结。</w:t>
      </w: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9. 正式实验协议：加入 BSRR 后必须统一哪些规则？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项目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正式规则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原因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正式 embedding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concat(Z₁,Z₂,Z₃,Z₄) 经 BSRR 后的 Z*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保证所有数据集使用同一 readout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最终聚类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KMeans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与当前方法定义一致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KMeans 设置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n_init=20；random_state=0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固定 readout 随机性，不把 KMeans seed 与 training seed 混在一起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training seed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0–9 独立训练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正式报告 10 seeds mean±std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NMI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average_method=max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和 clean protocol 一致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BSRR 参数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spatial_k 继承现有 spatial graph；σₛ/σ_z 用邻接边中位数自动确定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避免 GT-driven tuning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消融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Full vs w/o BSRR；其余模块分别按预设开关做 ablation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证明 BSRR 和训练模块各自贡献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Q/P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只用于训练/诊断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不与正式 concat-Z + BSRR readout 混用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/>
                <w:sz w:val="16"/>
              </w:rPr>
              <w:t>baseline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若采用 SMGC 论文报告值，必须明确标注 published/reported；不能写成 reproduced</w:t>
            </w:r>
          </w:p>
        </w:tc>
        <w:tc>
          <w:tcPr>
            <w:tcW w:type="dxa" w:w="328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避免实验来源混淆</w:t>
            </w:r>
          </w:p>
        </w:tc>
      </w:tr>
    </w:tbl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10. 论文叙事应该怎么改？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旧叙事的问题是：大量篇幅强调 MG、WD、sample/cluster contrastive，但这些最容易被 MGCMVC 和 CoMo 等文献反驳为已有机制。加入 BSRR 后，叙事应该从“我用了很多已有模块”改成“我解决了 spatial multi-omics final representation 与空间结构脱节的问题”。</w:t>
      </w:r>
    </w:p>
    <w:p>
      <w:pPr>
        <w:spacing w:after="100" w:line="283" w:lineRule="auto"/>
      </w:pPr>
      <w:r>
        <w:rPr>
          <w:rFonts w:ascii="Calibri" w:hAnsi="Calibri" w:eastAsia="Noto Sans CJK SC"/>
          <w:b/>
          <w:sz w:val="21"/>
        </w:rPr>
        <w:t>推荐的问题链条：</w:t>
      </w:r>
      <w:r>
        <w:rPr>
          <w:rFonts w:ascii="Calibri" w:hAnsi="Calibri" w:eastAsia="Noto Sans CJK SC"/>
          <w:sz w:val="21"/>
        </w:rPr>
      </w:r>
    </w:p>
    <w:p>
      <w:pPr>
        <w:pStyle w:val="ListBullet2"/>
        <w:spacing w:after="50" w:line="264" w:lineRule="auto"/>
      </w:pPr>
      <w:r>
        <w:rPr>
          <w:rFonts w:ascii="Calibri" w:hAnsi="Calibri" w:eastAsia="Noto Sans CJK SC"/>
          <w:sz w:val="20"/>
        </w:rPr>
        <w:t>空间多组学同时包含 modality-specific molecular similarity 与 physical neighborhood，单一 graph 或单一 granularity 难以覆盖互补结构。</w:t>
      </w:r>
    </w:p>
    <w:p>
      <w:pPr>
        <w:pStyle w:val="ListBullet2"/>
        <w:spacing w:after="50" w:line="264" w:lineRule="auto"/>
      </w:pPr>
      <w:r>
        <w:rPr>
          <w:rFonts w:ascii="Calibri" w:hAnsi="Calibri" w:eastAsia="Noto Sans CJK SC"/>
          <w:sz w:val="20"/>
        </w:rPr>
        <w:t>因此先构建 spatial/feature graph-specific views，并在每个 view 上学习 fine/coarse multigranularity representations，通过 sample/cluster objectives 联合优化。</w:t>
      </w:r>
    </w:p>
    <w:p>
      <w:pPr>
        <w:pStyle w:val="ListBullet2"/>
        <w:spacing w:after="50" w:line="264" w:lineRule="auto"/>
      </w:pPr>
      <w:r>
        <w:rPr>
          <w:rFonts w:ascii="Calibri" w:hAnsi="Calibri" w:eastAsia="Noto Sans CJK SC"/>
          <w:sz w:val="20"/>
        </w:rPr>
        <w:t>但仅靠训练阶段的空间图并不能保证最终 concat-Z 在聚类阶段仍保持局部组织一致性。</w:t>
      </w:r>
    </w:p>
    <w:p>
      <w:pPr>
        <w:pStyle w:val="ListBullet2"/>
        <w:spacing w:after="50" w:line="264" w:lineRule="auto"/>
      </w:pPr>
      <w:r>
        <w:rPr>
          <w:rFonts w:ascii="Calibri" w:hAnsi="Calibri" w:eastAsia="Noto Sans CJK SC"/>
          <w:sz w:val="20"/>
        </w:rPr>
        <w:t>为此引入 BSRR，在不引入额外可训练参数的情况下，用 spatial proximity × latent similarity 对 final embedding 做保守 residual correction，再进入 KMeans。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推荐的 contribution 顺序也应调整：BSRR 放在第 2 个甚至第 1 个方法创新点，而 WD 不要单独列成创新。</w:t>
      </w: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11. 方法名称必须重命名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“SpaMGCL” 已经被 2026 年 Expert Systems with Applications 的 Spatial Masked Graph Contrastive Learning 使用（Neighborhood-aware masked graph contrastive learning for spatial transcriptomics analysis）。即使任务从 spatial transcriptomics 扩展到 spatial multi-omics，继续使用相同 acronym 也会造成检索、审稿与代码仓库混淆。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建议在正式投稿前重新命名，并让名称突出你现在真正独有的故事：spatial multi-view / multigranularity + boundary-aware residual refinement。名称应在方法最终冻结后再定，不建议现在为了 acronym 反过来改算法。</w:t>
      </w: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12. 2026 年文献环境更新：为什么 BSRR 有帮助，但仍不能过度宣称“首创”？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最新文献进一步说明，空间多组学领域正在快速向 multi-view graph、cross-modal alignment、multi-scale spatial learning 和 clustering refinement 发展：SpaAlign 强调 cross-modal semantic alignment 与 deep clustering；SpaMCA 同时建模 spatial/feature graphs 并进行 masked graph representation 与 semantic distribution alignment；SpaMM-Net 用 spatially guided multiscale graph attention 学习不同空间尺度。与此同时，空间转录组领域也出现 dynamic neighborhood reconstruction、adaptive multi-scale optimization、residual graph learning 等与“边界保持/图修正”相近的思想。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因此，本次检索范围内没有发现与当前 BSRR 完全相同的“空间距离 × latent 距离双亲和 + 中位数自适应尺度 + final concat-Z residual refinement”完整组合，但相邻思想并不是空白。论文应该写“we introduce/design BSRR”，而不要写“the first boundary-aware refinement”。</w:t>
      </w: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13. 从现在开始的执行顺序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第一步：把 BSRR 作为可开关模块集成到 clean 源代码；enabled=false 必须严格复现原 concat-Z → KMeans。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第二步：用已经保存的 E18.5 z_concat 做代码级回放，确认正式实现能复现 Notebook 的 0.452612 / 0.536439，而不是先重新训练。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第三步：只跑一次 E18.5 50-epoch seed 0 end-to-end sanity check，确认训练→保存→BSRR→KMeans 全链路无误。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第四步：冻结 BSRR 公式和所有实验设置，不再针对 E18.5 扫 k、σ multiplier、residual coefficient 或第三种 refinement。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第五步：在其他真实数据集上做同一 BSRR 规则的验证；如果跨数据集多数同方向改善，再进入 10 seeds 主实验。</w:t>
      </w:r>
    </w:p>
    <w:p>
      <w:pPr>
        <w:pStyle w:val="ListBullet"/>
        <w:spacing w:after="50" w:line="264" w:lineRule="auto"/>
      </w:pPr>
      <w:r>
        <w:rPr>
          <w:rFonts w:ascii="Calibri" w:hAnsi="Calibri" w:eastAsia="Noto Sans CJK SC"/>
          <w:sz w:val="20"/>
        </w:rPr>
        <w:t>第六步：最终主表、空间图、UMAP、消融全部使用同一个正式 readout。</w:t>
      </w: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14. 最终判断（BSRR 版）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当前方法已经从“MGCMVC 在 spatial multi-omics 上的直接迁移”向“空间结构驱动的 multigranularity multi-view clustering + boundary-aware final refinement”前进了一步。BSRR 的最大价值不是单纯把 E18.5 ARI 提高了多少，而是修复了方法逻辑中最明显的 final-readout 缺口，并提供了一个真正 spatial-specific、轻量、可消融的模块。</w:t>
      </w:r>
    </w:p>
    <w:p>
      <w:pPr>
        <w:spacing w:after="100" w:line="283" w:lineRule="auto"/>
        <w:ind w:firstLine="420"/>
      </w:pPr>
      <w:r>
        <w:rPr>
          <w:rFonts w:ascii="Calibri" w:hAnsi="Calibri" w:eastAsia="Noto Sans CJK SC"/>
          <w:sz w:val="21"/>
        </w:rPr>
        <w:t>创新性建议定位为：应用方法/系统层面的中等偏上创新，基础算法层面仍为中等。这个定位比“强原创”更可信，也比“只是组合已有方法”更有说服力。是否足以形成稳定论文贡献，最终取决于 BSRR 在 A1、D1、E18.5、S2-E15、S2-E18 等数据上的一致性，以及 10 seeds、消融和可视化能否支持机制解释。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Noto Sans CJK SC"/>
                <w:b/>
                <w:color w:val="1F4E79"/>
                <w:sz w:val="21"/>
              </w:rPr>
              <w:t>一句话版本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Noto Sans CJK SC"/>
                <w:sz w:val="20"/>
              </w:rPr>
              <w:t>论文真正应该讲的不是“我们也用了多粒度、WD 和双层对比学习”，而是“我们用多视图多粒度学习获得互补表示，并通过一个参数自由的 boundary-aware spatial residual refinement，使最终 clustering representation 再次与空间组织结构对齐”。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Calibri" w:hAnsi="Calibri" w:eastAsia="Noto Sans CJK SC"/>
          <w:b/>
          <w:color w:val="1F4E79"/>
          <w:sz w:val="30"/>
        </w:rPr>
        <w:t>参考文献 / 检索依据（用于方法定位，不等同于论文最终参考文献表）</w:t>
      </w:r>
    </w:p>
    <w:p>
      <w:pPr>
        <w:spacing w:after="60"/>
        <w:ind w:left="340" w:hanging="340"/>
      </w:pPr>
      <w:r>
        <w:rPr>
          <w:rFonts w:ascii="Calibri" w:hAnsi="Calibri" w:eastAsia="Noto Sans CJK SC"/>
          <w:sz w:val="18"/>
        </w:rPr>
        <w:t>[1] Ju H., Lu Y., Ding W., Zhang W., Yang X. Multigranularity Information Fused Contrastive Learning With Multiview Clustering. IEEE Transactions on Neural Networks and Learning Systems, 2025, 36(10): 18915–18929. DOI: 10.1109/TNNLS.2025.3574885.</w:t>
      </w:r>
    </w:p>
    <w:p>
      <w:pPr>
        <w:spacing w:after="60"/>
        <w:ind w:left="340" w:hanging="340"/>
      </w:pPr>
      <w:r>
        <w:rPr>
          <w:rFonts w:ascii="Calibri" w:hAnsi="Calibri" w:eastAsia="Noto Sans CJK SC"/>
          <w:sz w:val="18"/>
        </w:rPr>
        <w:t>[2] Wang B., Liu W., Luo J., Chen X., Kwoh C.K. SMMGCL: A Novel Multi-Level Graph Contrastive Learning Framework for Integrating Spatial Multi-Omics Data. IEEE BIBM 2024.</w:t>
      </w:r>
    </w:p>
    <w:p>
      <w:pPr>
        <w:spacing w:after="60"/>
        <w:ind w:left="340" w:hanging="340"/>
      </w:pPr>
      <w:r>
        <w:rPr>
          <w:rFonts w:ascii="Calibri" w:hAnsi="Calibri" w:eastAsia="Noto Sans CJK SC"/>
          <w:sz w:val="18"/>
        </w:rPr>
        <w:t>[3] Zhang Y. et al. SMGC: Spatial multi-omics analysis with granular-ball contrastive learning framework. Expert Systems with Applications, 333, 133796. DOI: 10.1016/j.eswa.2026.133796.</w:t>
      </w:r>
    </w:p>
    <w:p>
      <w:pPr>
        <w:spacing w:after="60"/>
        <w:ind w:left="340" w:hanging="340"/>
      </w:pPr>
      <w:r>
        <w:rPr>
          <w:rFonts w:ascii="Calibri" w:hAnsi="Calibri" w:eastAsia="Noto Sans CJK SC"/>
          <w:sz w:val="18"/>
        </w:rPr>
        <w:t>[4] Spatial multi-omics integration by cross-modal graph contrastive learning (CoMo). Briefings in Bioinformatics, 2026, 27(2), bbag192. DOI: 10.1093/bib/bbag192.</w:t>
      </w:r>
    </w:p>
    <w:p>
      <w:pPr>
        <w:spacing w:after="60"/>
        <w:ind w:left="340" w:hanging="340"/>
      </w:pPr>
      <w:r>
        <w:rPr>
          <w:rFonts w:ascii="Calibri" w:hAnsi="Calibri" w:eastAsia="Noto Sans CJK SC"/>
          <w:sz w:val="18"/>
        </w:rPr>
        <w:t>[5] SpaAlign: Unified representation learning for spatial multi-omics. Bioinformatics, 2026, 42(9), btag629. DOI: 10.1093/bioinformatics/btag629.</w:t>
      </w:r>
    </w:p>
    <w:p>
      <w:pPr>
        <w:spacing w:after="60"/>
        <w:ind w:left="340" w:hanging="340"/>
      </w:pPr>
      <w:r>
        <w:rPr>
          <w:rFonts w:ascii="Calibri" w:hAnsi="Calibri" w:eastAsia="Noto Sans CJK SC"/>
          <w:sz w:val="18"/>
        </w:rPr>
        <w:t>[6] Zhao J., Wan J., Min W. Multi-view masked graph representation learning with semantic alignment for spatial multi-omics clustering (SpaMCA). Pattern Recognition, 2026, 114316. DOI: 10.1016/j.patcog.2026.114316.</w:t>
      </w:r>
    </w:p>
    <w:p>
      <w:pPr>
        <w:spacing w:after="60"/>
        <w:ind w:left="340" w:hanging="340"/>
      </w:pPr>
      <w:r>
        <w:rPr>
          <w:rFonts w:ascii="Calibri" w:hAnsi="Calibri" w:eastAsia="Noto Sans CJK SC"/>
          <w:sz w:val="18"/>
        </w:rPr>
        <w:t>[7] Zhang F., Peng C. Spatially multimodal and multiscale network for representation learning from spatial multi-omics (SpaMM-Net). BMC Genomics, 2026, 27:530. DOI: 10.1186/s12864-026-12945-y.</w:t>
      </w:r>
    </w:p>
    <w:p>
      <w:pPr>
        <w:spacing w:after="60"/>
        <w:ind w:left="340" w:hanging="340"/>
      </w:pPr>
      <w:r>
        <w:rPr>
          <w:rFonts w:ascii="Calibri" w:hAnsi="Calibri" w:eastAsia="Noto Sans CJK SC"/>
          <w:sz w:val="18"/>
        </w:rPr>
        <w:t>[8] Zhao J., Fang D., Min W. SpaMGCL: Neighborhood-aware masked graph contrastive learning for spatial transcriptomics analysis. Expert Systems with Applications, 2026, 329:132911. DOI: 10.1016/j.eswa.2026.132911.</w:t>
      </w:r>
    </w:p>
    <w:sectPr w:rsidR="00FC693F" w:rsidRPr="0006063C" w:rsidSect="00034616">
      <w:footerReference w:type="default" r:id="rId9"/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color w:val="787878"/>
        <w:sz w:val="17"/>
      </w:rPr>
      <w:t>BSRR 更新版方法评估｜仅用于当前项目内部方法设计与实验规划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