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widowControl w:val="1"/>
      </w:pPr>
      <w:r>
        <w:rPr>
          <w:rFonts w:ascii="Arial" w:hAnsi="Arial" w:eastAsia="Arial"/>
          <w:b/>
          <w:color w:val="183A59"/>
          <w:sz w:val="74"/>
        </w:rPr>
        <w:t>SARL MAPA ALGÉRIE</w:t>
      </w:r>
    </w:p>
    <w:p>
      <w:pPr>
        <w:spacing w:after="320"/>
        <w:pBdr>
          <w:bottom w:val="single" w:sz="10" w:space="8" w:color="2E74B5"/>
        </w:pBdr>
        <w:widowControl w:val="1"/>
      </w:pPr>
      <w:r>
        <w:rPr>
          <w:rFonts w:ascii="Arial" w:hAnsi="Arial" w:eastAsia="Arial"/>
          <w:b/>
          <w:color w:val="197B96"/>
          <w:sz w:val="22"/>
        </w:rPr>
        <w:t>CORPORATE GOVERNANCE PACKAGE</w:t>
      </w:r>
    </w:p>
    <w:p>
      <w:pPr>
        <w:spacing w:before="560" w:after="80"/>
        <w:widowControl w:val="1"/>
      </w:pPr>
      <w:r>
        <w:rPr>
          <w:rFonts w:ascii="Arial" w:hAnsi="Arial" w:eastAsia="Arial"/>
          <w:b/>
          <w:color w:val="197B96"/>
          <w:sz w:val="24"/>
        </w:rPr>
        <w:t>MAPA-CDD-001</w:t>
      </w:r>
    </w:p>
    <w:p>
      <w:pPr>
        <w:spacing w:after="80"/>
        <w:widowControl w:val="1"/>
      </w:pPr>
      <w:r>
        <w:rPr>
          <w:rFonts w:ascii="Arial" w:hAnsi="Arial" w:eastAsia="Arial"/>
          <w:b/>
          <w:color w:val="0E253B"/>
          <w:sz w:val="58"/>
        </w:rPr>
        <w:t>Company Design Document</w:t>
      </w:r>
    </w:p>
    <w:p>
      <w:pPr>
        <w:spacing w:after="360"/>
        <w:widowControl w:val="1"/>
      </w:pPr>
      <w:r>
        <w:rPr>
          <w:rFonts w:ascii="Arial" w:hAnsi="Arial" w:eastAsia="Arial"/>
          <w:b/>
          <w:color w:val="197B96"/>
          <w:sz w:val="34"/>
        </w:rPr>
        <w:t>Kurumsal Tasarım Belgesi</w:t>
      </w:r>
    </w:p>
    <w:p>
      <w:pPr>
        <w:spacing w:after="520"/>
        <w:widowControl w:val="1"/>
      </w:pPr>
      <w:r>
        <w:rPr>
          <w:rFonts w:ascii="Arial" w:hAnsi="Arial" w:eastAsia="Arial"/>
          <w:i/>
          <w:color w:val="667085"/>
          <w:sz w:val="25"/>
        </w:rPr>
        <w:t>Kaliteyi, güvenliği, çevre sorumluluğunu ve performansı organizasyonun tasarımına yerleştiren kurucu yönetim çerçevesi</w:t>
      </w:r>
    </w:p>
    <w:tbl>
      <w:tblPr>
        <w:tblStyle w:val="TableGrid"/>
        <w:tblW w:type="dxa" w:w="9630"/>
        <w:jc w:val="left"/>
        <w:tblLayout w:type="fixed"/>
        <w:tblLook w:firstColumn="1" w:firstRow="1" w:lastColumn="0" w:lastRow="0" w:noHBand="0" w:noVBand="1" w:val="04A0"/>
        <w:tblInd w:type="dxa" w:w="120"/>
      </w:tblPr>
      <w:tblGrid>
        <w:gridCol w:w="2700"/>
        <w:gridCol w:w="6930"/>
      </w:tblGrid>
      <w:tr>
        <w:trPr>
          <w:tblHeader w:val="true"/>
          <w:cantSplit w:val="1"/>
        </w:trPr>
        <w:tc>
          <w:tcPr>
            <w:tcW w:type="dxa" w:w="27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9"/>
              </w:rPr>
              <w:t>Doküman</w:t>
            </w:r>
          </w:p>
        </w:tc>
        <w:tc>
          <w:tcPr>
            <w:tcW w:type="dxa" w:w="69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9"/>
              </w:rPr>
              <w:t>Kontrollü değer</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9"/>
              </w:rPr>
              <w:t>Kod</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9"/>
              </w:rPr>
              <w:t>MAPA-CDD-001</w:t>
            </w:r>
          </w:p>
        </w:tc>
      </w:tr>
      <w:tr>
        <w:trPr>
          <w:cantSplit w:val="1"/>
        </w:trPr>
        <w:tc>
          <w:tcPr>
            <w:tcW w:type="dxa" w:w="2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9"/>
              </w:rPr>
              <w:t>Revizyon / yürürlük tarihi</w:t>
            </w:r>
          </w:p>
        </w:tc>
        <w:tc>
          <w:tcPr>
            <w:tcW w:type="dxa" w:w="69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9"/>
              </w:rPr>
              <w:t>Rev. 0 / Yönetim onayı sonrası</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9"/>
              </w:rPr>
              <w:t>Yayın tarihi</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9"/>
              </w:rPr>
              <w:t>1 Ağustos 2026</w:t>
            </w:r>
          </w:p>
        </w:tc>
      </w:tr>
      <w:tr>
        <w:trPr>
          <w:cantSplit w:val="1"/>
        </w:trPr>
        <w:tc>
          <w:tcPr>
            <w:tcW w:type="dxa" w:w="2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9"/>
              </w:rPr>
              <w:t>Doküman sahibi</w:t>
            </w:r>
          </w:p>
        </w:tc>
        <w:tc>
          <w:tcPr>
            <w:tcW w:type="dxa" w:w="69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9"/>
              </w:rPr>
              <w:t>Genel Müdür</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9"/>
              </w:rPr>
              <w:t>Sistem güvencesi</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9"/>
              </w:rPr>
              <w:t>QA/QC Manager / IMS Proje Lideri</w:t>
            </w:r>
          </w:p>
        </w:tc>
      </w:tr>
      <w:tr>
        <w:trPr>
          <w:cantSplit w:val="1"/>
        </w:trPr>
        <w:tc>
          <w:tcPr>
            <w:tcW w:type="dxa" w:w="2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9"/>
              </w:rPr>
              <w:t>Onay makamı</w:t>
            </w:r>
          </w:p>
        </w:tc>
        <w:tc>
          <w:tcPr>
            <w:tcW w:type="dxa" w:w="69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9"/>
              </w:rPr>
              <w:t>Genel Müdür</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9"/>
              </w:rPr>
              <w:t>Gizlilik / erişim</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9"/>
              </w:rPr>
              <w:t>Kurum içi kontrollü doküman</w:t>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8F5F7"/>
            <w:tcBorders>
              <w:top w:val="single" w:sz="5" w:space="0" w:color="B7D8DF"/>
              <w:left w:val="single" w:sz="5" w:space="0" w:color="B7D8DF"/>
              <w:bottom w:val="single" w:sz="5" w:space="0" w:color="B7D8DF"/>
              <w:right w:val="single" w:sz="5" w:space="0" w:color="B7D8DF"/>
              <w:insideH w:val="single" w:sz="5" w:space="0" w:color="B7D8DF"/>
              <w:insideV w:val="single" w:sz="5" w:space="0" w:color="B7D8DF"/>
            </w:tcBorders>
            <w:vAlign w:val="center"/>
            <w:tcMar>
              <w:top w:w="125" w:type="dxa"/>
              <w:bottom w:w="125" w:type="dxa"/>
              <w:start w:w="180" w:type="dxa"/>
              <w:end w:w="180" w:type="dxa"/>
            </w:tcMar>
          </w:tcPr>
          <w:p>
            <w:pPr>
              <w:spacing w:after="40" w:line="264" w:lineRule="auto"/>
            </w:pPr>
            <w:r>
              <w:rPr>
                <w:rFonts w:ascii="Arial" w:hAnsi="Arial" w:eastAsia="Arial"/>
                <w:b/>
                <w:color w:val="197B96"/>
                <w:sz w:val="21"/>
              </w:rPr>
              <w:t>Kurucu karar</w:t>
            </w:r>
          </w:p>
          <w:p>
            <w:pPr>
              <w:spacing w:after="0" w:line="269" w:lineRule="auto"/>
            </w:pPr>
            <w:r>
              <w:rPr>
                <w:rFonts w:ascii="Arial" w:hAnsi="Arial" w:eastAsia="Arial"/>
                <w:color w:val="142536"/>
                <w:sz w:val="21"/>
              </w:rPr>
              <w:t>SARL MAPA ALGÉRIE; kaliteyi son kontrolde arayan bir yapı olarak değil, doğru sonucu proses içinde üreten, kanıtla serbest bırakan ve her sapmadan öğrenen bir endüstriyel organizasyon olarak tasarlanacaktır.</w:t>
            </w:r>
          </w:p>
        </w:tc>
      </w:tr>
    </w:tbl>
    <w:p>
      <w:pPr>
        <w:spacing w:after="20"/>
        <w:widowControl w:val="1"/>
      </w:pPr>
    </w:p>
    <w:p>
      <w:pPr>
        <w:spacing w:before="240"/>
        <w:jc w:val="right"/>
        <w:widowControl w:val="1"/>
      </w:pPr>
      <w:r>
        <w:rPr>
          <w:rFonts w:ascii="Arial" w:hAnsi="Arial" w:eastAsia="Arial"/>
          <w:color w:val="667085"/>
          <w:sz w:val="18"/>
        </w:rPr>
        <w:t>Kontrollü taslak • Revizyon 0 • 01.08.2026</w:t>
      </w:r>
      <w:r/>
    </w:p>
    <w:p>
      <w:pPr>
        <w:spacing w:after="100"/>
        <w:widowControl w:val="1"/>
      </w:pPr>
      <w:r>
        <w:rPr>
          <w:rFonts w:ascii="Arial" w:hAnsi="Arial" w:eastAsia="Arial"/>
          <w:b/>
          <w:color w:val="197B96"/>
          <w:sz w:val="20"/>
        </w:rPr>
        <w:t>CONTROLLED INFORMATION</w:t>
      </w:r>
    </w:p>
    <w:p>
      <w:pPr>
        <w:pStyle w:val="Heading1"/>
        <w:keepNext/>
        <w:pageBreakBefore w:val="0"/>
        <w:widowControl w:val="1"/>
      </w:pPr>
      <w:r>
        <w:rPr>
          <w:rFonts w:ascii="Arial" w:hAnsi="Arial" w:eastAsia="Arial"/>
          <w:b/>
          <w:color w:val="197B96"/>
          <w:sz w:val="34"/>
        </w:rPr>
        <w:t>0. Doküman kontrol ve onay</w:t>
      </w:r>
    </w:p>
    <w:p>
      <w:pPr>
        <w:spacing w:after="120"/>
        <w:widowControl w:val="1"/>
      </w:pPr>
      <w:r>
        <w:rPr>
          <w:rFonts w:ascii="Arial" w:hAnsi="Arial" w:eastAsia="Arial"/>
          <w:color w:val="142536"/>
          <w:sz w:val="21"/>
        </w:rPr>
        <w:t>Bu doküman, SARL MAPA IMS Master Project’in Corporate Governance Package içindeki ana kurucu belgesidir. Onaylandığında MAPA-CDD-002 Organization Design, IMS Manual, politika ve proses prosedürlerinin tasarım girdisi olur.</w:t>
      </w:r>
    </w:p>
    <w:p>
      <w:pPr>
        <w:pStyle w:val="Heading2"/>
        <w:keepNext/>
        <w:widowControl w:val="1"/>
      </w:pPr>
      <w:r>
        <w:rPr>
          <w:rFonts w:ascii="Arial" w:hAnsi="Arial" w:eastAsia="Arial"/>
          <w:b/>
          <w:color w:val="183A59"/>
          <w:sz w:val="25"/>
        </w:rPr>
        <w:t>0.1 Onay zinciri</w:t>
      </w:r>
    </w:p>
    <w:tbl>
      <w:tblPr>
        <w:tblW w:type="dxa" w:w="9630"/>
        <w:jc w:val="left"/>
        <w:tblLayout w:type="fixed"/>
        <w:tblLook w:firstColumn="1" w:firstRow="1" w:lastColumn="0" w:lastRow="0" w:noHBand="0" w:noVBand="1" w:val="04A0"/>
        <w:tblInd w:type="dxa" w:w="120"/>
      </w:tblPr>
      <w:tblGrid>
        <w:gridCol w:w="1450"/>
        <w:gridCol w:w="4180"/>
        <w:gridCol w:w="1600"/>
        <w:gridCol w:w="2400"/>
      </w:tblGrid>
      <w:tr>
        <w:trPr>
          <w:cantSplit w:val="1"/>
        </w:trPr>
        <w:tc>
          <w:tcPr>
            <w:tcW w:type="dxa" w:w="14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tcMar>
              <w:top w:w="160" w:type="dxa"/>
              <w:bottom w:w="160" w:type="dxa"/>
              <w:start w:w="120" w:type="dxa"/>
              <w:end w:w="120" w:type="dxa"/>
            </w:tcMar>
          </w:tcPr>
          <w:p>
            <w:r>
              <w:rPr>
                <w:rFonts w:ascii="Arial" w:hAnsi="Arial" w:eastAsia="Arial"/>
                <w:b/>
                <w:color w:val="FFFFFF"/>
                <w:sz w:val="18"/>
              </w:rPr>
              <w:t>Aşama</w:t>
            </w:r>
          </w:p>
        </w:tc>
        <w:tc>
          <w:tcPr>
            <w:tcW w:type="dxa" w:w="418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tcMar>
              <w:top w:w="160" w:type="dxa"/>
              <w:bottom w:w="160" w:type="dxa"/>
              <w:start w:w="120" w:type="dxa"/>
              <w:end w:w="120" w:type="dxa"/>
            </w:tcMar>
          </w:tcPr>
          <w:p>
            <w:r>
              <w:rPr>
                <w:rFonts w:ascii="Arial" w:hAnsi="Arial" w:eastAsia="Arial"/>
                <w:b/>
                <w:color w:val="FFFFFF"/>
                <w:sz w:val="18"/>
              </w:rPr>
              <w:t>Görev / Fonksiyon</w:t>
            </w:r>
          </w:p>
        </w:tc>
        <w:tc>
          <w:tcPr>
            <w:tcW w:type="dxa" w:w="16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tcMar>
              <w:top w:w="160" w:type="dxa"/>
              <w:bottom w:w="160" w:type="dxa"/>
              <w:start w:w="120" w:type="dxa"/>
              <w:end w:w="120" w:type="dxa"/>
            </w:tcMar>
          </w:tcPr>
          <w:p>
            <w:r>
              <w:rPr>
                <w:rFonts w:ascii="Arial" w:hAnsi="Arial" w:eastAsia="Arial"/>
                <w:b/>
                <w:color w:val="FFFFFF"/>
                <w:sz w:val="18"/>
              </w:rPr>
              <w:t>Tarih</w:t>
            </w:r>
          </w:p>
        </w:tc>
        <w:tc>
          <w:tcPr>
            <w:tcW w:type="dxa" w:w="24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tcMar>
              <w:top w:w="160" w:type="dxa"/>
              <w:bottom w:w="160" w:type="dxa"/>
              <w:start w:w="120" w:type="dxa"/>
              <w:end w:w="120" w:type="dxa"/>
            </w:tcMar>
          </w:tcPr>
          <w:p>
            <w:r>
              <w:rPr>
                <w:rFonts w:ascii="Arial" w:hAnsi="Arial" w:eastAsia="Arial"/>
                <w:b/>
                <w:color w:val="FFFFFF"/>
                <w:sz w:val="18"/>
              </w:rPr>
              <w:t>İmza</w:t>
            </w:r>
          </w:p>
        </w:tc>
      </w:tr>
      <w:tr>
        <w:trPr>
          <w:cantSplit w:val="1"/>
        </w:trPr>
        <w:tc>
          <w:tcPr>
            <w:tcW w:type="dxa" w:w="14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color w:val="142536"/>
                <w:sz w:val="18"/>
              </w:rPr>
              <w:t>Hazırlayan</w:t>
            </w:r>
          </w:p>
        </w:tc>
        <w:tc>
          <w:tcPr>
            <w:tcW w:type="dxa" w:w="41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t>QA/QC Manager / IMS Proje Lideri</w:t>
            </w:r>
          </w:p>
        </w:tc>
        <w:tc>
          <w:tcPr>
            <w:tcW w:type="dxa" w:w="1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r>
          </w:p>
        </w:tc>
      </w:tr>
      <w:tr>
        <w:trPr>
          <w:cantSplit w:val="1"/>
        </w:trPr>
        <w:tc>
          <w:tcPr>
            <w:tcW w:type="dxa" w:w="14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color w:val="142536"/>
                <w:sz w:val="18"/>
              </w:rPr>
              <w:t>Kontrol eden</w:t>
            </w:r>
          </w:p>
        </w:tc>
        <w:tc>
          <w:tcPr>
            <w:tcW w:type="dxa" w:w="41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t>Fabrika Direktörü</w:t>
            </w:r>
          </w:p>
        </w:tc>
        <w:tc>
          <w:tcPr>
            <w:tcW w:type="dxa" w:w="16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r>
          </w:p>
        </w:tc>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r>
          </w:p>
        </w:tc>
      </w:tr>
      <w:tr>
        <w:trPr>
          <w:cantSplit w:val="1"/>
        </w:trPr>
        <w:tc>
          <w:tcPr>
            <w:tcW w:type="dxa" w:w="14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color w:val="142536"/>
                <w:sz w:val="18"/>
              </w:rPr>
              <w:t>Onaylayan</w:t>
            </w:r>
          </w:p>
        </w:tc>
        <w:tc>
          <w:tcPr>
            <w:tcW w:type="dxa" w:w="41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t>Genel Müdür</w:t>
            </w:r>
          </w:p>
        </w:tc>
        <w:tc>
          <w:tcPr>
            <w:tcW w:type="dxa" w:w="1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160" w:type="dxa"/>
              <w:bottom w:w="160" w:type="dxa"/>
              <w:start w:w="120" w:type="dxa"/>
              <w:end w:w="120" w:type="dxa"/>
            </w:tcMar>
          </w:tcPr>
          <w:p>
            <w:pPr>
              <w:spacing w:after="0"/>
            </w:pPr>
            <w:r>
              <w:rPr>
                <w:rFonts w:ascii="Arial" w:hAnsi="Arial" w:eastAsia="Arial"/>
                <w:b w:val="0"/>
                <w:color w:val="142536"/>
                <w:sz w:val="18"/>
              </w:rPr>
            </w:r>
          </w:p>
        </w:tc>
      </w:tr>
    </w:tbl>
    <w:p>
      <w:pPr>
        <w:spacing w:after="40"/>
        <w:widowControl w:val="1"/>
      </w:pPr>
    </w:p>
    <w:p>
      <w:pPr>
        <w:pStyle w:val="Heading2"/>
        <w:keepNext/>
        <w:widowControl w:val="1"/>
      </w:pPr>
      <w:r>
        <w:rPr>
          <w:rFonts w:ascii="Arial" w:hAnsi="Arial" w:eastAsia="Arial"/>
          <w:b/>
          <w:color w:val="183A59"/>
          <w:sz w:val="25"/>
        </w:rPr>
        <w:t>0.2 Revizyon geçmişi</w:t>
      </w:r>
    </w:p>
    <w:tbl>
      <w:tblPr>
        <w:tblStyle w:val="TableGrid"/>
        <w:tblW w:type="dxa" w:w="9630"/>
        <w:jc w:val="left"/>
        <w:tblLayout w:type="fixed"/>
        <w:tblLook w:firstColumn="1" w:firstRow="1" w:lastColumn="0" w:lastRow="0" w:noHBand="0" w:noVBand="1" w:val="04A0"/>
        <w:tblInd w:type="dxa" w:w="120"/>
      </w:tblPr>
      <w:tblGrid>
        <w:gridCol w:w="700"/>
        <w:gridCol w:w="1250"/>
        <w:gridCol w:w="3960"/>
        <w:gridCol w:w="2220"/>
        <w:gridCol w:w="1500"/>
      </w:tblGrid>
      <w:tr>
        <w:trPr>
          <w:tblHeader w:val="true"/>
          <w:cantSplit w:val="1"/>
        </w:trPr>
        <w:tc>
          <w:tcPr>
            <w:tcW w:type="dxa" w:w="7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Rev.</w:t>
            </w:r>
          </w:p>
        </w:tc>
        <w:tc>
          <w:tcPr>
            <w:tcW w:type="dxa" w:w="12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Tarih</w:t>
            </w:r>
          </w:p>
        </w:tc>
        <w:tc>
          <w:tcPr>
            <w:tcW w:type="dxa" w:w="396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Değişiklik özeti</w:t>
            </w:r>
          </w:p>
        </w:tc>
        <w:tc>
          <w:tcPr>
            <w:tcW w:type="dxa" w:w="222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Hazırlayan</w:t>
            </w:r>
          </w:p>
        </w:tc>
        <w:tc>
          <w:tcPr>
            <w:tcW w:type="dxa" w:w="15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Onay</w:t>
            </w:r>
          </w:p>
        </w:tc>
      </w:tr>
      <w:tr>
        <w:trPr>
          <w:cantSplit w:val="1"/>
        </w:trPr>
        <w:tc>
          <w:tcPr>
            <w:tcW w:type="dxa" w:w="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R0</w:t>
            </w:r>
          </w:p>
        </w:tc>
        <w:tc>
          <w:tcPr>
            <w:tcW w:type="dxa" w:w="12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01.08.2026</w:t>
            </w:r>
          </w:p>
        </w:tc>
        <w:tc>
          <w:tcPr>
            <w:tcW w:type="dxa" w:w="39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İlk kontrollü yayın - SARL MAPA IMS baseline: kurumsal kimlik, yönetişim, süreç ve IMS tasarımı.</w:t>
            </w:r>
          </w:p>
        </w:tc>
        <w:tc>
          <w:tcPr>
            <w:tcW w:type="dxa" w:w="222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QA/QC Manager / IMS Proje Lideri</w:t>
            </w:r>
          </w:p>
        </w:tc>
        <w:tc>
          <w:tcPr>
            <w:tcW w:type="dxa" w:w="15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Genel Müdür</w:t>
            </w:r>
          </w:p>
        </w:tc>
      </w:tr>
    </w:tbl>
    <w:p>
      <w:pPr>
        <w:spacing w:after="40"/>
        <w:widowControl w:val="1"/>
      </w:pPr>
    </w:p>
    <w:p>
      <w:pPr>
        <w:pStyle w:val="Heading2"/>
        <w:keepNext/>
        <w:widowControl w:val="1"/>
      </w:pPr>
      <w:r>
        <w:rPr>
          <w:rFonts w:ascii="Arial" w:hAnsi="Arial" w:eastAsia="Arial"/>
          <w:b/>
          <w:color w:val="183A59"/>
          <w:sz w:val="25"/>
        </w:rPr>
        <w:t>0.3 Dağıtım ve kontrollü kullanım</w:t>
      </w:r>
    </w:p>
    <w:tbl>
      <w:tblPr>
        <w:tblStyle w:val="TableGrid"/>
        <w:tblW w:type="dxa" w:w="9630"/>
        <w:jc w:val="left"/>
        <w:tblLayout w:type="fixed"/>
        <w:tblLook w:firstColumn="1" w:firstRow="1" w:lastColumn="0" w:lastRow="0" w:noHBand="0" w:noVBand="1" w:val="04A0"/>
        <w:tblInd w:type="dxa" w:w="120"/>
      </w:tblPr>
      <w:tblGrid>
        <w:gridCol w:w="1750"/>
        <w:gridCol w:w="2900"/>
        <w:gridCol w:w="4980"/>
      </w:tblGrid>
      <w:tr>
        <w:trPr>
          <w:tblHeader w:val="true"/>
          <w:cantSplit w:val="1"/>
        </w:trPr>
        <w:tc>
          <w:tcPr>
            <w:tcW w:type="dxa" w:w="17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Kopya / erişim</w:t>
            </w:r>
          </w:p>
        </w:tc>
        <w:tc>
          <w:tcPr>
            <w:tcW w:type="dxa" w:w="29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Kullanıcı grubu</w:t>
            </w:r>
          </w:p>
        </w:tc>
        <w:tc>
          <w:tcPr>
            <w:tcW w:type="dxa" w:w="498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Kontrol kuralı</w:t>
            </w:r>
          </w:p>
        </w:tc>
      </w:tr>
      <w:tr>
        <w:trPr>
          <w:cantSplit w:val="1"/>
        </w:trPr>
        <w:tc>
          <w:tcPr>
            <w:tcW w:type="dxa" w:w="17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Master elektronik kopya</w:t>
            </w:r>
          </w:p>
        </w:tc>
        <w:tc>
          <w:tcPr>
            <w:tcW w:type="dxa" w:w="2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Genel Müdür, Fabrika Direktörü, QA/QC</w:t>
            </w:r>
          </w:p>
        </w:tc>
        <w:tc>
          <w:tcPr>
            <w:tcW w:type="dxa" w:w="49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Salt okunur yayın; revizyon ve audit trail korunur.</w:t>
            </w:r>
          </w:p>
        </w:tc>
      </w:tr>
      <w:tr>
        <w:trPr>
          <w:cantSplit w:val="1"/>
        </w:trPr>
        <w:tc>
          <w:tcPr>
            <w:tcW w:type="dxa" w:w="17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Kontrollü çalışma kopyası</w:t>
            </w:r>
          </w:p>
        </w:tc>
        <w:tc>
          <w:tcPr>
            <w:tcW w:type="dxa" w:w="29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Süreç sahipleri</w:t>
            </w:r>
          </w:p>
        </w:tc>
        <w:tc>
          <w:tcPr>
            <w:tcW w:type="dxa" w:w="49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Yalnız güncel revizyon; yerel kopya senkronizasyonu zorunlu.</w:t>
            </w:r>
          </w:p>
        </w:tc>
      </w:tr>
      <w:tr>
        <w:trPr>
          <w:cantSplit w:val="1"/>
        </w:trPr>
        <w:tc>
          <w:tcPr>
            <w:tcW w:type="dxa" w:w="17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Bilgilendirme kopyası</w:t>
            </w:r>
          </w:p>
        </w:tc>
        <w:tc>
          <w:tcPr>
            <w:tcW w:type="dxa" w:w="2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Diğer çalışanlar / ilgili taraflar</w:t>
            </w:r>
          </w:p>
        </w:tc>
        <w:tc>
          <w:tcPr>
            <w:tcW w:type="dxa" w:w="49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Değişiklik yapma yetkisi yoktur; basılı kopya kontrolsüz kabul edilir.</w:t>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AF2F6"/>
            <w:tcBorders>
              <w:top w:val="single" w:sz="5" w:space="0" w:color="C7D7E2"/>
              <w:left w:val="single" w:sz="5" w:space="0" w:color="C7D7E2"/>
              <w:bottom w:val="single" w:sz="5" w:space="0" w:color="C7D7E2"/>
              <w:right w:val="single" w:sz="5" w:space="0" w:color="C7D7E2"/>
              <w:insideH w:val="single" w:sz="5" w:space="0" w:color="C7D7E2"/>
              <w:insideV w:val="single" w:sz="5" w:space="0" w:color="C7D7E2"/>
            </w:tcBorders>
            <w:vAlign w:val="center"/>
            <w:tcMar>
              <w:top w:w="125" w:type="dxa"/>
              <w:bottom w:w="125" w:type="dxa"/>
              <w:start w:w="180" w:type="dxa"/>
              <w:end w:w="180" w:type="dxa"/>
            </w:tcMar>
          </w:tcPr>
          <w:p>
            <w:pPr>
              <w:spacing w:after="40" w:line="264" w:lineRule="auto"/>
            </w:pPr>
            <w:r>
              <w:rPr>
                <w:rFonts w:ascii="Arial" w:hAnsi="Arial" w:eastAsia="Arial"/>
                <w:b/>
                <w:color w:val="183A59"/>
                <w:sz w:val="21"/>
              </w:rPr>
              <w:t>Doküman kontrol kuralı</w:t>
            </w:r>
          </w:p>
          <w:p>
            <w:pPr>
              <w:spacing w:after="0" w:line="269" w:lineRule="auto"/>
            </w:pPr>
            <w:r>
              <w:rPr>
                <w:rFonts w:ascii="Arial" w:hAnsi="Arial" w:eastAsia="Arial"/>
                <w:color w:val="142536"/>
                <w:sz w:val="21"/>
              </w:rPr>
              <w:t>Basılı veya çevrimdışı kopya, üzerinde kontrollü kopya numarası ve geçerlilik tarihi bulunmadıkça kontrolsüzdür. Eski revizyonlar kullanım noktasından kaldırılır; arşivde salt okunur ve izlenebilir tutulur.</w:t>
            </w:r>
          </w:p>
        </w:tc>
      </w:tr>
    </w:tbl>
    <w:p>
      <w:pPr>
        <w:spacing w:after="20"/>
        <w:widowControl w:val="1"/>
      </w:pPr>
    </w:p>
    <w:p>
      <w:pPr>
        <w:pStyle w:val="Heading2"/>
        <w:keepNext/>
        <w:widowControl w:val="1"/>
      </w:pPr>
      <w:r>
        <w:rPr>
          <w:rFonts w:ascii="Arial" w:hAnsi="Arial" w:eastAsia="Arial"/>
          <w:b/>
          <w:color w:val="183A59"/>
          <w:sz w:val="25"/>
        </w:rPr>
        <w:t>0.4 Doküman statüsü ve öncelik</w:t>
      </w:r>
    </w:p>
    <w:p>
      <w:pPr>
        <w:spacing w:after="120"/>
        <w:widowControl w:val="1"/>
      </w:pPr>
      <w:r>
        <w:rPr>
          <w:rFonts w:ascii="Arial" w:hAnsi="Arial" w:eastAsia="Arial"/>
          <w:color w:val="142536"/>
          <w:sz w:val="21"/>
        </w:rPr>
        <w:t>MAPA-CDD-001 kurumsal tasarım kararlarını tanımlar; teknik reçete, ürün spesifikasyonu veya yasal şart yerine geçmez. Yürürlükteki mevzuat, bağlayıcı müşteri sözleşmesi ve uygulanabilir standart şartlarıyla çelişki görülürse iş durdurulur, ilgili kayıt açılır ve doküman değişiklik kontrolüyle güncellenir.</w:t>
      </w:r>
    </w:p>
    <w:p>
      <w:pPr>
        <w:widowControl w:val="1"/>
      </w:pPr>
      <w:r/>
    </w:p>
    <w:p>
      <w:pPr>
        <w:spacing w:after="100"/>
        <w:widowControl w:val="1"/>
      </w:pPr>
      <w:r>
        <w:rPr>
          <w:rFonts w:ascii="Arial" w:hAnsi="Arial" w:eastAsia="Arial"/>
          <w:b/>
          <w:color w:val="197B96"/>
          <w:sz w:val="20"/>
        </w:rPr>
        <w:t>DOCUMENT MAP</w:t>
      </w:r>
    </w:p>
    <w:p>
      <w:pPr>
        <w:pStyle w:val="Heading1"/>
        <w:keepNext/>
        <w:pageBreakBefore w:val="0"/>
        <w:widowControl w:val="1"/>
      </w:pPr>
      <w:r>
        <w:rPr>
          <w:rFonts w:ascii="Arial" w:hAnsi="Arial" w:eastAsia="Arial"/>
          <w:b/>
          <w:color w:val="197B96"/>
          <w:sz w:val="34"/>
        </w:rPr>
        <w:t>A. Doküman haritası</w:t>
      </w:r>
    </w:p>
    <w:p>
      <w:pPr>
        <w:spacing w:after="120"/>
        <w:widowControl w:val="1"/>
      </w:pPr>
      <w:r>
        <w:rPr>
          <w:rFonts w:ascii="Arial" w:hAnsi="Arial" w:eastAsia="Arial"/>
          <w:color w:val="142536"/>
          <w:sz w:val="21"/>
        </w:rPr>
        <w:t>Bu harita, MAPA-CDD-001’in karar mantığını ve sonraki belgelerle bağlantısını gösterir. MAPA-CDD-001 “nasıl bir şirket tasarlıyoruz?” sorusunu; MAPA-CDD-002 ise “bu tasarımı hangi roller, yetkiler ve raporlama hatları işletecek?” sorusunu cevaplar.</w:t>
      </w:r>
    </w:p>
    <w:tbl>
      <w:tblPr>
        <w:tblStyle w:val="TableGrid"/>
        <w:tblW w:type="dxa" w:w="9630"/>
        <w:jc w:val="left"/>
        <w:tblLayout w:type="fixed"/>
        <w:tblLook w:firstColumn="1" w:firstRow="1" w:lastColumn="0" w:lastRow="0" w:noHBand="0" w:noVBand="1" w:val="04A0"/>
        <w:tblInd w:type="dxa" w:w="120"/>
      </w:tblPr>
      <w:tblGrid>
        <w:gridCol w:w="1100"/>
        <w:gridCol w:w="4160"/>
        <w:gridCol w:w="4370"/>
      </w:tblGrid>
      <w:tr>
        <w:trPr>
          <w:tblHeader w:val="true"/>
          <w:cantSplit w:val="1"/>
        </w:trPr>
        <w:tc>
          <w:tcPr>
            <w:tcW w:type="dxa" w:w="11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Bölüm</w:t>
            </w:r>
          </w:p>
        </w:tc>
        <w:tc>
          <w:tcPr>
            <w:tcW w:type="dxa" w:w="416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İçerik</w:t>
            </w:r>
          </w:p>
        </w:tc>
        <w:tc>
          <w:tcPr>
            <w:tcW w:type="dxa" w:w="437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Yönetim çıktısı</w:t>
            </w:r>
          </w:p>
        </w:tc>
      </w:tr>
      <w:tr>
        <w:trPr>
          <w:cantSplit w:val="1"/>
        </w:trPr>
        <w:tc>
          <w:tcPr>
            <w:tcW w:type="dxa" w:w="1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1–3</w:t>
            </w:r>
          </w:p>
        </w:tc>
        <w:tc>
          <w:tcPr>
            <w:tcW w:type="dxa" w:w="41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Amaç, kurumsal kimlik ve stratejik yön</w:t>
            </w:r>
          </w:p>
        </w:tc>
        <w:tc>
          <w:tcPr>
            <w:tcW w:type="dxa" w:w="437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Şirketin varlık nedeni ve sınırları</w:t>
            </w:r>
          </w:p>
        </w:tc>
      </w:tr>
      <w:tr>
        <w:trPr>
          <w:cantSplit w:val="1"/>
        </w:trPr>
        <w:tc>
          <w:tcPr>
            <w:tcW w:type="dxa" w:w="1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4–5</w:t>
            </w:r>
          </w:p>
        </w:tc>
        <w:tc>
          <w:tcPr>
            <w:tcW w:type="dxa" w:w="416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Yönetim felsefesi, değerler ve davranışlar</w:t>
            </w:r>
          </w:p>
        </w:tc>
        <w:tc>
          <w:tcPr>
            <w:tcW w:type="dxa" w:w="437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Karar verirken değişmeyecek ilkeler</w:t>
            </w:r>
          </w:p>
        </w:tc>
      </w:tr>
      <w:tr>
        <w:trPr>
          <w:cantSplit w:val="1"/>
        </w:trPr>
        <w:tc>
          <w:tcPr>
            <w:tcW w:type="dxa" w:w="1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6–8</w:t>
            </w:r>
          </w:p>
        </w:tc>
        <w:tc>
          <w:tcPr>
            <w:tcW w:type="dxa" w:w="41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Paydaşlar, süreç modeli ve yönetişim</w:t>
            </w:r>
          </w:p>
        </w:tc>
        <w:tc>
          <w:tcPr>
            <w:tcW w:type="dxa" w:w="437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Süreç sahipliği, bağımsızlık ve karar hakları</w:t>
            </w:r>
          </w:p>
        </w:tc>
      </w:tr>
      <w:tr>
        <w:trPr>
          <w:cantSplit w:val="1"/>
        </w:trPr>
        <w:tc>
          <w:tcPr>
            <w:tcW w:type="dxa" w:w="1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9–11</w:t>
            </w:r>
          </w:p>
        </w:tc>
        <w:tc>
          <w:tcPr>
            <w:tcW w:type="dxa" w:w="416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IMS, kalite kapıları, risk ve değişiklik</w:t>
            </w:r>
          </w:p>
        </w:tc>
        <w:tc>
          <w:tcPr>
            <w:tcW w:type="dxa" w:w="437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ISO omurgası ve kontrol kapıları</w:t>
            </w:r>
          </w:p>
        </w:tc>
      </w:tr>
      <w:tr>
        <w:trPr>
          <w:cantSplit w:val="1"/>
        </w:trPr>
        <w:tc>
          <w:tcPr>
            <w:tcW w:type="dxa" w:w="1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12–15</w:t>
            </w:r>
          </w:p>
        </w:tc>
        <w:tc>
          <w:tcPr>
            <w:tcW w:type="dxa" w:w="41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İnsan, veri, performans ve HSE</w:t>
            </w:r>
          </w:p>
        </w:tc>
        <w:tc>
          <w:tcPr>
            <w:tcW w:type="dxa" w:w="437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Sistemi günlük işletme disiplini</w:t>
            </w:r>
          </w:p>
        </w:tc>
      </w:tr>
      <w:tr>
        <w:trPr>
          <w:cantSplit w:val="1"/>
        </w:trPr>
        <w:tc>
          <w:tcPr>
            <w:tcW w:type="dxa" w:w="1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16–17</w:t>
            </w:r>
          </w:p>
        </w:tc>
        <w:tc>
          <w:tcPr>
            <w:tcW w:type="dxa" w:w="416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Değişmez kurallar ve uygulama zinciri</w:t>
            </w:r>
          </w:p>
        </w:tc>
        <w:tc>
          <w:tcPr>
            <w:tcW w:type="dxa" w:w="437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Bypass edilemeyen kontroller ve sonraki dokümanlar</w:t>
            </w:r>
          </w:p>
        </w:tc>
      </w:tr>
      <w:tr>
        <w:trPr>
          <w:cantSplit w:val="1"/>
        </w:trPr>
        <w:tc>
          <w:tcPr>
            <w:tcW w:type="dxa" w:w="1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Ekler</w:t>
            </w:r>
          </w:p>
        </w:tc>
        <w:tc>
          <w:tcPr>
            <w:tcW w:type="dxa" w:w="41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Terimler, referanslar ve kontrol listesi</w:t>
            </w:r>
          </w:p>
        </w:tc>
        <w:tc>
          <w:tcPr>
            <w:tcW w:type="dxa" w:w="437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Ortak dil ve yayın doğrulaması</w:t>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8F5F7"/>
            <w:tcBorders>
              <w:top w:val="single" w:sz="5" w:space="0" w:color="C7D7E2"/>
              <w:left w:val="single" w:sz="5" w:space="0" w:color="C7D7E2"/>
              <w:bottom w:val="single" w:sz="5" w:space="0" w:color="C7D7E2"/>
              <w:right w:val="single" w:sz="5" w:space="0" w:color="C7D7E2"/>
              <w:insideH w:val="single" w:sz="5" w:space="0" w:color="C7D7E2"/>
              <w:insideV w:val="single" w:sz="5" w:space="0" w:color="C7D7E2"/>
            </w:tcBorders>
            <w:vAlign w:val="center"/>
            <w:tcMar>
              <w:top w:w="125" w:type="dxa"/>
              <w:bottom w:w="125" w:type="dxa"/>
              <w:start w:w="180" w:type="dxa"/>
              <w:end w:w="180" w:type="dxa"/>
            </w:tcMar>
          </w:tcPr>
          <w:p>
            <w:pPr>
              <w:spacing w:after="40" w:line="264" w:lineRule="auto"/>
            </w:pPr>
            <w:r>
              <w:rPr>
                <w:rFonts w:ascii="Arial" w:hAnsi="Arial" w:eastAsia="Arial"/>
                <w:b/>
                <w:color w:val="197B96"/>
                <w:sz w:val="21"/>
              </w:rPr>
              <w:t>Yönetimin dokümanı kullanma biçimi</w:t>
            </w:r>
          </w:p>
          <w:p>
            <w:pPr>
              <w:spacing w:after="0" w:line="269" w:lineRule="auto"/>
            </w:pPr>
            <w:r>
              <w:rPr>
                <w:rFonts w:ascii="Arial" w:hAnsi="Arial" w:eastAsia="Arial"/>
                <w:color w:val="142536"/>
                <w:sz w:val="21"/>
              </w:rPr>
              <w:t>Strateji, yatırım, organizasyon, ürün, tedarikçi, teknoloji veya büyük proses değişikliklerinde önerilen karar önce bu belgenin ilkeleriyle test edilir. Uymayan karar gerekçesiz uygulanamaz; gerekiyorsa MAPA-CDD-001 revize edilir.</w:t>
            </w:r>
          </w:p>
        </w:tc>
      </w:tr>
    </w:tbl>
    <w:p>
      <w:pPr>
        <w:spacing w:after="20"/>
        <w:widowControl w:val="1"/>
      </w:pPr>
    </w:p>
    <w:p>
      <w:pPr>
        <w:pStyle w:val="Heading2"/>
        <w:keepNext/>
        <w:widowControl w:val="1"/>
      </w:pPr>
      <w:r>
        <w:rPr>
          <w:rFonts w:ascii="Arial" w:hAnsi="Arial" w:eastAsia="Arial"/>
          <w:b/>
          <w:color w:val="183A59"/>
          <w:sz w:val="25"/>
        </w:rPr>
        <w:t>Belgenin beş tasarım sorusu</w:t>
      </w:r>
    </w:p>
    <w:p>
      <w:pPr>
        <w:spacing w:after="80" w:line="280" w:lineRule="auto"/>
        <w:ind w:left="720" w:hanging="360"/>
        <w:numPr>
          <w:ilvl w:val="0"/>
          <w:numId w:val="10"/>
        </w:numPr>
        <w:widowControl w:val="1"/>
      </w:pPr>
      <w:r>
        <w:rPr>
          <w:rFonts w:ascii="Arial" w:hAnsi="Arial" w:eastAsia="Arial"/>
          <w:color w:val="142536"/>
          <w:sz w:val="21"/>
        </w:rPr>
        <w:t>SARL MAPA ALGÉRIE hangi değeri üretir ve hangi performans sözünü verir?</w:t>
      </w:r>
    </w:p>
    <w:p>
      <w:pPr>
        <w:spacing w:after="80" w:line="280" w:lineRule="auto"/>
        <w:ind w:left="720" w:hanging="360"/>
        <w:numPr>
          <w:ilvl w:val="0"/>
          <w:numId w:val="10"/>
        </w:numPr>
        <w:widowControl w:val="1"/>
      </w:pPr>
      <w:r>
        <w:rPr>
          <w:rFonts w:ascii="Arial" w:hAnsi="Arial" w:eastAsia="Arial"/>
          <w:color w:val="142536"/>
          <w:sz w:val="21"/>
        </w:rPr>
        <w:t>Kim, hangi çıktının sahibi ve hangi kararı vermeye yetkilidir?</w:t>
      </w:r>
    </w:p>
    <w:p>
      <w:pPr>
        <w:spacing w:after="80" w:line="280" w:lineRule="auto"/>
        <w:ind w:left="720" w:hanging="360"/>
        <w:numPr>
          <w:ilvl w:val="0"/>
          <w:numId w:val="10"/>
        </w:numPr>
        <w:widowControl w:val="1"/>
      </w:pPr>
      <w:r>
        <w:rPr>
          <w:rFonts w:ascii="Arial" w:hAnsi="Arial" w:eastAsia="Arial"/>
          <w:color w:val="142536"/>
          <w:sz w:val="21"/>
        </w:rPr>
        <w:t>Hangi kontrol kapısı geçilmeden süreç ilerleyemez?</w:t>
      </w:r>
    </w:p>
    <w:p>
      <w:pPr>
        <w:spacing w:after="80" w:line="280" w:lineRule="auto"/>
        <w:ind w:left="720" w:hanging="360"/>
        <w:numPr>
          <w:ilvl w:val="0"/>
          <w:numId w:val="10"/>
        </w:numPr>
        <w:widowControl w:val="1"/>
      </w:pPr>
      <w:r>
        <w:rPr>
          <w:rFonts w:ascii="Arial" w:hAnsi="Arial" w:eastAsia="Arial"/>
          <w:color w:val="142536"/>
          <w:sz w:val="21"/>
        </w:rPr>
        <w:t>Kararın ve uygulamanın objektif kanıtı hangi kayıtta tutulur?</w:t>
      </w:r>
    </w:p>
    <w:p>
      <w:pPr>
        <w:spacing w:after="80" w:line="280" w:lineRule="auto"/>
        <w:ind w:left="720" w:hanging="360"/>
        <w:numPr>
          <w:ilvl w:val="0"/>
          <w:numId w:val="10"/>
        </w:numPr>
        <w:widowControl w:val="1"/>
      </w:pPr>
      <w:r>
        <w:rPr>
          <w:rFonts w:ascii="Arial" w:hAnsi="Arial" w:eastAsia="Arial"/>
          <w:color w:val="142536"/>
          <w:sz w:val="21"/>
        </w:rPr>
        <w:t>Sistem sapmadan nasıl öğrenir ve tekrarını nasıl önler?</w:t>
      </w:r>
    </w:p>
    <w:p>
      <w:pPr>
        <w:widowControl w:val="1"/>
      </w:pPr>
      <w:r/>
    </w:p>
    <w:p>
      <w:pPr>
        <w:pStyle w:val="Heading1"/>
        <w:keepNext/>
        <w:pageBreakBefore w:val="0"/>
        <w:widowControl w:val="1"/>
      </w:pPr>
      <w:r>
        <w:rPr>
          <w:rFonts w:ascii="Arial" w:hAnsi="Arial" w:eastAsia="Arial"/>
          <w:b/>
          <w:color w:val="197B96"/>
          <w:sz w:val="34"/>
        </w:rPr>
        <w:t>1. Amaç, kapsam ve kurumsal statü</w:t>
      </w:r>
    </w:p>
    <w:p>
      <w:pPr>
        <w:spacing w:after="120"/>
        <w:widowControl w:val="1"/>
      </w:pPr>
      <w:r>
        <w:rPr>
          <w:rFonts w:ascii="Arial" w:hAnsi="Arial" w:eastAsia="Arial"/>
          <w:color w:val="142536"/>
          <w:sz w:val="21"/>
        </w:rPr>
        <w:t>MAPA-CDD-001’in amacı; SARL MAPA ALGÉRIE’nin büyürken kişi bağımlılığına, kontrolsüz değişikliğe ve departmanlar arası boşluklara düşmemesi için şirketin kurumsal işletim modelini tanımlamaktır. Belge, organizasyon tasarımından proses prosedürlerine kadar bütün IMS dokümantasyonuna ortak bir yönetim mantığı sağlar.</w:t>
      </w:r>
    </w:p>
    <w:p>
      <w:pPr>
        <w:pStyle w:val="Heading2"/>
        <w:keepNext/>
        <w:widowControl w:val="1"/>
      </w:pPr>
      <w:r>
        <w:rPr>
          <w:rFonts w:ascii="Arial" w:hAnsi="Arial" w:eastAsia="Arial"/>
          <w:b/>
          <w:color w:val="183A59"/>
          <w:sz w:val="25"/>
        </w:rPr>
        <w:t>1.1 Kapsam</w:t>
      </w:r>
    </w:p>
    <w:p>
      <w:pPr>
        <w:spacing w:after="80" w:line="280" w:lineRule="auto"/>
        <w:ind w:left="720" w:hanging="360"/>
        <w:numPr>
          <w:ilvl w:val="0"/>
          <w:numId w:val="10"/>
        </w:numPr>
        <w:widowControl w:val="1"/>
      </w:pPr>
      <w:r>
        <w:rPr>
          <w:rFonts w:ascii="Arial" w:hAnsi="Arial" w:eastAsia="Arial"/>
          <w:color w:val="142536"/>
          <w:sz w:val="21"/>
        </w:rPr>
        <w:t>Pazar ve müşteri gereksiniminin gözden geçirilmesi; ürün iddiası ve teknik şartların doğrulanması.</w:t>
      </w:r>
    </w:p>
    <w:p>
      <w:pPr>
        <w:spacing w:after="80" w:line="280" w:lineRule="auto"/>
        <w:ind w:left="720" w:hanging="360"/>
        <w:numPr>
          <w:ilvl w:val="0"/>
          <w:numId w:val="10"/>
        </w:numPr>
        <w:widowControl w:val="1"/>
      </w:pPr>
      <w:r>
        <w:rPr>
          <w:rFonts w:ascii="Arial" w:hAnsi="Arial" w:eastAsia="Arial"/>
          <w:color w:val="142536"/>
          <w:sz w:val="21"/>
        </w:rPr>
        <w:t>AR-GE, formülasyon, mühendislik tasarımı, teknik resim/BOM, laboratuvar-pilot-prototip-endüstriyel validasyon ve değişiklik yönetimi.</w:t>
      </w:r>
    </w:p>
    <w:p>
      <w:pPr>
        <w:spacing w:after="80" w:line="280" w:lineRule="auto"/>
        <w:ind w:left="720" w:hanging="360"/>
        <w:numPr>
          <w:ilvl w:val="0"/>
          <w:numId w:val="10"/>
        </w:numPr>
        <w:widowControl w:val="1"/>
      </w:pPr>
      <w:r>
        <w:rPr>
          <w:rFonts w:ascii="Arial" w:hAnsi="Arial" w:eastAsia="Arial"/>
          <w:color w:val="142536"/>
          <w:sz w:val="21"/>
        </w:rPr>
        <w:t>Tedarikçi onayı, satınalma, giriş kalite, depo, lot statüsü ve iç malzeme hareketleri.</w:t>
      </w:r>
    </w:p>
    <w:p>
      <w:pPr>
        <w:spacing w:after="80" w:line="280" w:lineRule="auto"/>
        <w:ind w:left="720" w:hanging="360"/>
        <w:numPr>
          <w:ilvl w:val="0"/>
          <w:numId w:val="10"/>
        </w:numPr>
        <w:widowControl w:val="1"/>
      </w:pPr>
      <w:r>
        <w:rPr>
          <w:rFonts w:ascii="Arial" w:hAnsi="Arial" w:eastAsia="Arial"/>
          <w:color w:val="142536"/>
          <w:sz w:val="21"/>
        </w:rPr>
        <w:t>Üretim planlama; batch veya iş emri uygulaması; karıştırma ya da kesme, bükme, kaynak, montaj ve yüzey işlem prosesleri; proses içi kontroller, dolum/etiketleme veya ürün işaretleme ve temizlik.</w:t>
      </w:r>
    </w:p>
    <w:p>
      <w:pPr>
        <w:spacing w:after="80" w:line="280" w:lineRule="auto"/>
        <w:ind w:left="720" w:hanging="360"/>
        <w:numPr>
          <w:ilvl w:val="0"/>
          <w:numId w:val="10"/>
        </w:numPr>
        <w:widowControl w:val="1"/>
      </w:pPr>
      <w:r>
        <w:rPr>
          <w:rFonts w:ascii="Arial" w:hAnsi="Arial" w:eastAsia="Arial"/>
          <w:color w:val="142536"/>
          <w:sz w:val="21"/>
        </w:rPr>
        <w:t>Numune alma; laboratuvar ve ölçüm yönetimi; malzeme sertifikası, boyutsal kontrol, kaynak/NDT ve kaplama kontrolleri; ürün değerlendirme, CoA/uygunluk dosyası ve bağımsız serbest bırakma.</w:t>
      </w:r>
    </w:p>
    <w:p>
      <w:pPr>
        <w:spacing w:after="80" w:line="280" w:lineRule="auto"/>
        <w:ind w:left="720" w:hanging="360"/>
        <w:numPr>
          <w:ilvl w:val="0"/>
          <w:numId w:val="10"/>
        </w:numPr>
        <w:widowControl w:val="1"/>
      </w:pPr>
      <w:r>
        <w:rPr>
          <w:rFonts w:ascii="Arial" w:hAnsi="Arial" w:eastAsia="Arial"/>
          <w:color w:val="142536"/>
          <w:sz w:val="21"/>
        </w:rPr>
        <w:t>Bakım, kalibrasyon/metroloji, utility, IT/OT, veri, HSE, yetkinlik ve acil durum yönetimi.</w:t>
      </w:r>
    </w:p>
    <w:p>
      <w:pPr>
        <w:spacing w:after="80" w:line="280" w:lineRule="auto"/>
        <w:ind w:left="720" w:hanging="360"/>
        <w:numPr>
          <w:ilvl w:val="0"/>
          <w:numId w:val="10"/>
        </w:numPr>
        <w:widowControl w:val="1"/>
      </w:pPr>
      <w:r>
        <w:rPr>
          <w:rFonts w:ascii="Arial" w:hAnsi="Arial" w:eastAsia="Arial"/>
          <w:color w:val="142536"/>
          <w:sz w:val="21"/>
        </w:rPr>
        <w:t>Sevkiyat, teknik servis, saha performansı, müşteri geri bildirimi, şikâyet, NCR/CAPA ve öğrenme.</w:t>
      </w:r>
    </w:p>
    <w:p>
      <w:pPr>
        <w:pStyle w:val="Heading2"/>
        <w:keepNext/>
        <w:widowControl w:val="1"/>
      </w:pPr>
      <w:r>
        <w:rPr>
          <w:rFonts w:ascii="Arial" w:hAnsi="Arial" w:eastAsia="Arial"/>
          <w:b/>
          <w:color w:val="183A59"/>
          <w:sz w:val="25"/>
        </w:rPr>
        <w:t>1.2 Tasarım sınırı</w:t>
      </w:r>
    </w:p>
    <w:p>
      <w:pPr>
        <w:spacing w:after="120"/>
        <w:widowControl w:val="1"/>
      </w:pPr>
      <w:r>
        <w:rPr>
          <w:rFonts w:ascii="Arial" w:hAnsi="Arial" w:eastAsia="Arial"/>
          <w:color w:val="142536"/>
          <w:sz w:val="21"/>
        </w:rPr>
        <w:t>Bu belge ayrıntılı kadro sayısı, isim bazlı atama ve organizasyon şeması yayımlamaz; bunlar MAPA-CDD-002’de tanımlanır. Finans, insan kaynakları ve idari işler; ürün uygunluğu, yasal uygunluk, yetkinlik, kaynak veya iş sürekliliğini etkilediği ölçüde IMS kapsamına girer.</w:t>
      </w:r>
    </w:p>
    <w:p>
      <w:pPr>
        <w:pStyle w:val="Heading1"/>
        <w:keepNext/>
        <w:pageBreakBefore w:val="0"/>
        <w:widowControl w:val="1"/>
      </w:pPr>
      <w:r>
        <w:rPr>
          <w:rFonts w:ascii="Arial" w:hAnsi="Arial" w:eastAsia="Arial"/>
          <w:b/>
          <w:color w:val="197B96"/>
          <w:sz w:val="34"/>
        </w:rPr>
        <w:t>2. SARL MAPA ALGÉRIE kurumsal kimliği ve iş kolları</w:t>
      </w:r>
    </w:p>
    <w:p>
      <w:pPr>
        <w:pStyle w:val="Heading2"/>
        <w:keepNext/>
        <w:widowControl w:val="1"/>
      </w:pPr>
      <w:r>
        <w:rPr>
          <w:rFonts w:ascii="Arial" w:hAnsi="Arial" w:eastAsia="Arial"/>
          <w:b/>
          <w:color w:val="183A59"/>
          <w:sz w:val="25"/>
        </w:rPr>
        <w:t>2.1 Şirket tanımı</w:t>
      </w:r>
    </w:p>
    <w:p>
      <w:pPr>
        <w:spacing w:after="120"/>
        <w:widowControl w:val="1"/>
      </w:pPr>
      <w:r>
        <w:rPr>
          <w:rFonts w:ascii="Arial" w:hAnsi="Arial" w:eastAsia="Arial"/>
          <w:color w:val="142536"/>
          <w:sz w:val="21"/>
        </w:rPr>
        <w:t>SARL MAPA ALGÉRIE; endüstriyel üretim, ürün teknolojisi ve teknik hizmetleri ortak yönetişim altında geliştiren çok iş kollu bir kuruluştur. MAPA Concrete Solutions kimyasal katkı ve beton teknolojilerini; MAPA Precast Technologies prefabrik beton ürünlerini; MAPA Formwork Technologies (MFT) çelik, tünel ve her türlü özel sac kalıp sistemlerinin mühendislik, imalat, montaj ve teknik servis faaliyetlerini; MAPA Laboratory &amp; Technical Services ise yapı malzemelerine yönelik ticari laboratuvar testleri, deneysel çalışmalar ve teknik danışmanlık hizmetlerini yönetir. KRMIX adı kuruluş veya fabrika adı değil, MAPA Concrete Solutions altında yönetilen süperakışkanlaştırıcı ürün/ürün ailesidir.</w:t>
      </w:r>
    </w:p>
    <w:tbl>
      <w:tblPr>
        <w:tblStyle w:val="TableGrid"/>
        <w:tblW w:type="dxa" w:w="9630"/>
        <w:jc w:val="left"/>
        <w:tblLayout w:type="fixed"/>
        <w:tblLook w:firstColumn="1" w:firstRow="1" w:lastColumn="0" w:lastRow="0" w:noHBand="0" w:noVBand="1" w:val="04A0"/>
        <w:tblInd w:type="dxa" w:w="120"/>
      </w:tblPr>
      <w:tblGrid>
        <w:gridCol w:w="2150"/>
        <w:gridCol w:w="4300"/>
        <w:gridCol w:w="3180"/>
      </w:tblGrid>
      <w:tr>
        <w:trPr>
          <w:tblHeader w:val="true"/>
          <w:cantSplit w:val="1"/>
        </w:trPr>
        <w:tc>
          <w:tcPr>
            <w:tcW w:type="dxa" w:w="21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Kimlik boyutu</w:t>
            </w:r>
          </w:p>
        </w:tc>
        <w:tc>
          <w:tcPr>
            <w:tcW w:type="dxa" w:w="43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SARL MAPA ALGÉRIE tanımı</w:t>
            </w:r>
          </w:p>
        </w:tc>
        <w:tc>
          <w:tcPr>
            <w:tcW w:type="dxa" w:w="318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Kanıt</w:t>
            </w:r>
          </w:p>
        </w:tc>
      </w:tr>
      <w:tr>
        <w:trPr>
          <w:cantSplit w:val="1"/>
        </w:trPr>
        <w:tc>
          <w:tcPr>
            <w:tcW w:type="dxa" w:w="21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Endüstriyel üretici</w:t>
            </w:r>
          </w:p>
        </w:tc>
        <w:tc>
          <w:tcPr>
            <w:tcW w:type="dxa" w:w="43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Kontrollü reçete veya teknik resim/BOM, ekipman, proses, iş emri ve lot/seri yönetimi</w:t>
            </w:r>
          </w:p>
        </w:tc>
        <w:tc>
          <w:tcPr>
            <w:tcW w:type="dxa" w:w="31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Batch/iş emri, IPC/ITP, malzeme izlenebilirliği ve kütle/boyut uygunluğu</w:t>
            </w:r>
          </w:p>
        </w:tc>
      </w:tr>
      <w:tr>
        <w:trPr>
          <w:cantSplit w:val="1"/>
        </w:trPr>
        <w:tc>
          <w:tcPr>
            <w:tcW w:type="dxa" w:w="21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Teknik çözüm ortağı</w:t>
            </w:r>
          </w:p>
        </w:tc>
        <w:tc>
          <w:tcPr>
            <w:tcW w:type="dxa" w:w="43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Müşteri ihtiyacına ve saha koşuluna uygun ürün/uygulama desteği</w:t>
            </w:r>
          </w:p>
        </w:tc>
        <w:tc>
          <w:tcPr>
            <w:tcW w:type="dxa" w:w="31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Teknik review, saha raporu ve geri bildirim</w:t>
            </w:r>
          </w:p>
        </w:tc>
      </w:tr>
      <w:tr>
        <w:trPr>
          <w:cantSplit w:val="1"/>
        </w:trPr>
        <w:tc>
          <w:tcPr>
            <w:tcW w:type="dxa" w:w="21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Kalite güvenceli marka</w:t>
            </w:r>
          </w:p>
        </w:tc>
        <w:tc>
          <w:tcPr>
            <w:tcW w:type="dxa" w:w="43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Ürün yalnız kanıtlanmış uygunlukla serbest bırakılır</w:t>
            </w:r>
          </w:p>
        </w:tc>
        <w:tc>
          <w:tcPr>
            <w:tcW w:type="dxa" w:w="31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Ham veri, karar kaydı, CoA/uygunluk dosyası, retain sample veya inspection dossier</w:t>
            </w:r>
          </w:p>
        </w:tc>
      </w:tr>
      <w:tr>
        <w:trPr>
          <w:cantSplit w:val="1"/>
        </w:trPr>
        <w:tc>
          <w:tcPr>
            <w:tcW w:type="dxa" w:w="21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Öğrenen organizasyon</w:t>
            </w:r>
          </w:p>
        </w:tc>
        <w:tc>
          <w:tcPr>
            <w:tcW w:type="dxa" w:w="43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Sapma, şikâyet ve veriyi sistem iyileştirmesine dönüştürür</w:t>
            </w:r>
          </w:p>
        </w:tc>
        <w:tc>
          <w:tcPr>
            <w:tcW w:type="dxa" w:w="31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NCR/CAPA, MOC, trend ve etkinlik doğrulaması</w:t>
            </w:r>
          </w:p>
        </w:tc>
      </w:tr>
    </w:tbl>
    <w:p>
      <w:pPr>
        <w:spacing w:after="40"/>
        <w:widowControl w:val="1"/>
      </w:pPr>
    </w:p>
    <w:p>
      <w:pPr>
        <w:pStyle w:val="Heading2"/>
        <w:keepNext/>
        <w:widowControl w:val="1"/>
      </w:pPr>
      <w:r>
        <w:rPr>
          <w:rFonts w:ascii="Arial" w:hAnsi="Arial" w:eastAsia="Arial"/>
          <w:b/>
          <w:color w:val="183A59"/>
          <w:sz w:val="25"/>
        </w:rPr>
        <w:t>2.2 Kurumsal performans sözü</w:t>
      </w: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8F5F7"/>
            <w:tcBorders>
              <w:top w:val="single" w:sz="5" w:space="0" w:color="C7D7E2"/>
              <w:left w:val="single" w:sz="5" w:space="0" w:color="C7D7E2"/>
              <w:bottom w:val="single" w:sz="5" w:space="0" w:color="C7D7E2"/>
              <w:right w:val="single" w:sz="5" w:space="0" w:color="C7D7E2"/>
              <w:insideH w:val="single" w:sz="5" w:space="0" w:color="C7D7E2"/>
              <w:insideV w:val="single" w:sz="5" w:space="0" w:color="C7D7E2"/>
            </w:tcBorders>
            <w:vAlign w:val="center"/>
            <w:tcMar>
              <w:top w:w="125" w:type="dxa"/>
              <w:bottom w:w="125" w:type="dxa"/>
              <w:start w:w="180" w:type="dxa"/>
              <w:end w:w="180" w:type="dxa"/>
            </w:tcMar>
          </w:tcPr>
          <w:p>
            <w:pPr>
              <w:spacing w:after="40" w:line="264" w:lineRule="auto"/>
            </w:pPr>
            <w:r>
              <w:rPr>
                <w:rFonts w:ascii="Arial" w:hAnsi="Arial" w:eastAsia="Arial"/>
                <w:b/>
                <w:color w:val="197B96"/>
                <w:sz w:val="21"/>
              </w:rPr>
              <w:t>SARL MAPA ALGÉRIE sözü</w:t>
            </w:r>
          </w:p>
          <w:p>
            <w:pPr>
              <w:spacing w:after="0" w:line="269" w:lineRule="auto"/>
            </w:pPr>
            <w:r>
              <w:rPr>
                <w:rFonts w:ascii="Arial" w:hAnsi="Arial" w:eastAsia="Arial"/>
                <w:color w:val="142536"/>
                <w:sz w:val="21"/>
              </w:rPr>
              <w:t>Doğru ürün; onaylı reçete veya tasarım/teknik resimle, uygun hammadde ve malzemeyle, doğru ekipmanda, yetkin kişiler tarafından, güvenli ve çevre sorumlu koşullarda üretilecek; geçerli ölçüm, muayene ve kayıt kanıtı olmadan serbest bırakılmayacaktır.</w:t>
            </w:r>
          </w:p>
        </w:tc>
      </w:tr>
    </w:tbl>
    <w:p>
      <w:pPr>
        <w:spacing w:after="20"/>
        <w:widowControl w:val="1"/>
      </w:pPr>
    </w:p>
    <w:p>
      <w:pPr>
        <w:pStyle w:val="Heading1"/>
        <w:keepNext/>
        <w:pageBreakBefore w:val="0"/>
        <w:widowControl w:val="1"/>
      </w:pPr>
      <w:r>
        <w:rPr>
          <w:rFonts w:ascii="Arial" w:hAnsi="Arial" w:eastAsia="Arial"/>
          <w:b/>
          <w:color w:val="197B96"/>
          <w:sz w:val="34"/>
        </w:rPr>
        <w:t>3. Misyon, vizyon ve stratejik yön</w:t>
      </w:r>
    </w:p>
    <w:tbl>
      <w:tblPr>
        <w:tblStyle w:val="TableGrid"/>
        <w:tblW w:type="dxa" w:w="9630"/>
        <w:jc w:val="left"/>
        <w:tblLayout w:type="fixed"/>
        <w:tblLook w:firstColumn="1" w:firstRow="1" w:lastColumn="0" w:lastRow="0" w:noHBand="0" w:noVBand="1" w:val="04A0"/>
        <w:tblInd w:type="dxa" w:w="120"/>
      </w:tblPr>
      <w:tblGrid>
        <w:gridCol w:w="2100"/>
        <w:gridCol w:w="7530"/>
      </w:tblGrid>
      <w:tr>
        <w:trPr>
          <w:tblHeader w:val="true"/>
          <w:cantSplit w:val="1"/>
        </w:trPr>
        <w:tc>
          <w:tcPr>
            <w:tcW w:type="dxa" w:w="21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Başlık</w:t>
            </w:r>
          </w:p>
        </w:tc>
        <w:tc>
          <w:tcPr>
            <w:tcW w:type="dxa" w:w="75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Kurumsal ifade</w:t>
            </w:r>
          </w:p>
        </w:tc>
      </w:tr>
      <w:tr>
        <w:trPr>
          <w:cantSplit w:val="1"/>
        </w:trPr>
        <w:tc>
          <w:tcPr>
            <w:tcW w:type="dxa" w:w="2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Misyon</w:t>
            </w:r>
          </w:p>
        </w:tc>
        <w:tc>
          <w:tcPr>
            <w:tcW w:type="dxa" w:w="75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Beton katkıları, prefabrik ürünler, kalıp sistemleri ve laboratuvar/teknik hizmetlerde doğrulanmış performansı; güvenli, izlenebilir ve kaynak verimli mühendislik ve üretimle müşteriye dönüştürmek.</w:t>
            </w:r>
          </w:p>
        </w:tc>
      </w:tr>
      <w:tr>
        <w:trPr>
          <w:cantSplit w:val="1"/>
        </w:trPr>
        <w:tc>
          <w:tcPr>
            <w:tcW w:type="dxa" w:w="2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Vizyon</w:t>
            </w:r>
          </w:p>
        </w:tc>
        <w:tc>
          <w:tcPr>
            <w:tcW w:type="dxa" w:w="75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Cezayir merkezli; teknik güvenilirliği, mühendislik kabiliyeti, proses disiplini ve saha sonuçlarıyla beton teknolojileri, prefabrik ürünler, kalıp sistemleri ve laboratuvar hizmetlerinde bölgesel ölçekte tercih edilen endüstriyel çözüm markası olmak.</w:t>
            </w:r>
          </w:p>
        </w:tc>
      </w:tr>
      <w:tr>
        <w:trPr>
          <w:cantSplit w:val="1"/>
        </w:trPr>
        <w:tc>
          <w:tcPr>
            <w:tcW w:type="dxa" w:w="2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Değer önerisi</w:t>
            </w:r>
          </w:p>
        </w:tc>
        <w:tc>
          <w:tcPr>
            <w:tcW w:type="dxa" w:w="75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Müşteriye yalnız ürün değil; kararlı beton ve kalıp performansı, güvenilir prefabrik çözümler, doğrulanmış test/teknik hizmet, daha düşük toplam risk ve kanıtlanabilir uygunluk sunmak.</w:t>
            </w:r>
          </w:p>
        </w:tc>
      </w:tr>
      <w:tr>
        <w:trPr>
          <w:cantSplit w:val="1"/>
        </w:trPr>
        <w:tc>
          <w:tcPr>
            <w:tcW w:type="dxa" w:w="2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Büyüme ilkesi</w:t>
            </w:r>
          </w:p>
        </w:tc>
        <w:tc>
          <w:tcPr>
            <w:tcW w:type="dxa" w:w="75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Kapasite ve ürün portföyü; kontrol kabiliyeti, yetkinlik, laboratuvar ve tedarik güvenliği aynı hızda gelişmeden büyütülmez.</w:t>
            </w:r>
          </w:p>
        </w:tc>
      </w:tr>
    </w:tbl>
    <w:p>
      <w:pPr>
        <w:spacing w:after="40"/>
        <w:widowControl w:val="1"/>
      </w:pPr>
    </w:p>
    <w:p>
      <w:pPr>
        <w:pStyle w:val="Heading2"/>
        <w:keepNext/>
        <w:widowControl w:val="1"/>
      </w:pPr>
      <w:r>
        <w:rPr>
          <w:rFonts w:ascii="Arial" w:hAnsi="Arial" w:eastAsia="Arial"/>
          <w:b/>
          <w:color w:val="183A59"/>
          <w:sz w:val="25"/>
        </w:rPr>
        <w:t>3.1 Stratejik tasarım hedefleri</w:t>
      </w:r>
    </w:p>
    <w:p>
      <w:pPr>
        <w:spacing w:after="80" w:line="280" w:lineRule="auto"/>
        <w:ind w:left="720" w:hanging="360"/>
        <w:numPr>
          <w:ilvl w:val="0"/>
          <w:numId w:val="10"/>
        </w:numPr>
        <w:widowControl w:val="1"/>
      </w:pPr>
      <w:r>
        <w:rPr>
          <w:rFonts w:ascii="Arial" w:hAnsi="Arial" w:eastAsia="Arial"/>
          <w:color w:val="142536"/>
          <w:sz w:val="21"/>
        </w:rPr>
        <w:t>Kaliteyi departman görevi olmaktan çıkarıp her proses çıktısının doğal sonucu yapmak.</w:t>
      </w:r>
    </w:p>
    <w:p>
      <w:pPr>
        <w:spacing w:after="80" w:line="280" w:lineRule="auto"/>
        <w:ind w:left="720" w:hanging="360"/>
        <w:numPr>
          <w:ilvl w:val="0"/>
          <w:numId w:val="10"/>
        </w:numPr>
        <w:widowControl w:val="1"/>
      </w:pPr>
      <w:r>
        <w:rPr>
          <w:rFonts w:ascii="Arial" w:hAnsi="Arial" w:eastAsia="Arial"/>
          <w:color w:val="142536"/>
          <w:sz w:val="21"/>
        </w:rPr>
        <w:t>Üretim, laboratuvar, tedarik, bakım ve saha verisini tek izlenebilir karar zincirinde birleştirmek.</w:t>
      </w:r>
    </w:p>
    <w:p>
      <w:pPr>
        <w:spacing w:after="80" w:line="280" w:lineRule="auto"/>
        <w:ind w:left="720" w:hanging="360"/>
        <w:numPr>
          <w:ilvl w:val="0"/>
          <w:numId w:val="10"/>
        </w:numPr>
        <w:widowControl w:val="1"/>
      </w:pPr>
      <w:r>
        <w:rPr>
          <w:rFonts w:ascii="Arial" w:hAnsi="Arial" w:eastAsia="Arial"/>
          <w:color w:val="142536"/>
          <w:sz w:val="21"/>
        </w:rPr>
        <w:t>ISO 9001, ISO 14001 ve ISO 45001 sertifikasyonuna; laboratuvar için ISO/IEC 17025 yetkinliğine hazır bir sistem kurmak.</w:t>
      </w:r>
    </w:p>
    <w:p>
      <w:pPr>
        <w:spacing w:after="80" w:line="280" w:lineRule="auto"/>
        <w:ind w:left="720" w:hanging="360"/>
        <w:numPr>
          <w:ilvl w:val="0"/>
          <w:numId w:val="10"/>
        </w:numPr>
        <w:widowControl w:val="1"/>
      </w:pPr>
      <w:r>
        <w:rPr>
          <w:rFonts w:ascii="Arial" w:hAnsi="Arial" w:eastAsia="Arial"/>
          <w:color w:val="142536"/>
          <w:sz w:val="21"/>
        </w:rPr>
        <w:t>Formülasyon bilgisini, proses tecrübesini ve saha öğrenimini kurumsal bilgi varlığına dönüştürmek.</w:t>
      </w:r>
    </w:p>
    <w:p>
      <w:pPr>
        <w:spacing w:after="80" w:line="280" w:lineRule="auto"/>
        <w:ind w:left="720" w:hanging="360"/>
        <w:numPr>
          <w:ilvl w:val="0"/>
          <w:numId w:val="10"/>
        </w:numPr>
        <w:widowControl w:val="1"/>
      </w:pPr>
      <w:r>
        <w:rPr>
          <w:rFonts w:ascii="Arial" w:hAnsi="Arial" w:eastAsia="Arial"/>
          <w:color w:val="142536"/>
          <w:sz w:val="21"/>
        </w:rPr>
        <w:t>Yeni ürün, kapasite ve pazar büyümesini risk temelli kontrol kapılarıyla yönetmek.</w:t>
      </w:r>
    </w:p>
    <w:p>
      <w:pPr>
        <w:pStyle w:val="Heading1"/>
        <w:keepNext/>
        <w:pageBreakBefore w:val="0"/>
        <w:widowControl w:val="1"/>
      </w:pPr>
      <w:r>
        <w:rPr>
          <w:rFonts w:ascii="Arial" w:hAnsi="Arial" w:eastAsia="Arial"/>
          <w:b/>
          <w:color w:val="197B96"/>
          <w:sz w:val="34"/>
        </w:rPr>
        <w:t>4. Kurumsal yönetim felsefesi</w:t>
      </w:r>
    </w:p>
    <w:tbl>
      <w:tblPr>
        <w:tblStyle w:val="TableGrid"/>
        <w:tblW w:type="dxa" w:w="9630"/>
        <w:jc w:val="left"/>
        <w:tblLayout w:type="fixed"/>
        <w:tblLook w:firstColumn="1" w:firstRow="1" w:lastColumn="0" w:lastRow="0" w:noHBand="0" w:noVBand="1" w:val="04A0"/>
        <w:tblInd w:type="dxa" w:w="120"/>
      </w:tblPr>
      <w:tblGrid>
        <w:gridCol w:w="2700"/>
        <w:gridCol w:w="6930"/>
      </w:tblGrid>
      <w:tr>
        <w:trPr>
          <w:tblHeader w:val="true"/>
          <w:cantSplit w:val="1"/>
        </w:trPr>
        <w:tc>
          <w:tcPr>
            <w:tcW w:type="dxa" w:w="27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İlke</w:t>
            </w:r>
          </w:p>
        </w:tc>
        <w:tc>
          <w:tcPr>
            <w:tcW w:type="dxa" w:w="69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SARL MAPA ALGÉRIE’de anlamı</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Kalite kaynağında üretilir</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Son test ayıklama için değil doğrulama içindir. Uygunluk; doğru tasarım, doğru girdi ve kontrol altındaki prosesle oluşturulur.</w:t>
            </w:r>
          </w:p>
        </w:tc>
      </w:tr>
      <w:tr>
        <w:trPr>
          <w:cantSplit w:val="1"/>
        </w:trPr>
        <w:tc>
          <w:tcPr>
            <w:tcW w:type="dxa" w:w="2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Süreç sahibi hesap verir</w:t>
            </w:r>
          </w:p>
        </w:tc>
        <w:tc>
          <w:tcPr>
            <w:tcW w:type="dxa" w:w="69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Her fonksiyon kendi çıktısının kalite, güvenlik, süre, maliyet ve kayıt bütünlüğünden sorumludur.</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Karar kanıta bağlıdır</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Tecrübe değerlidir; ancak kritik karar ölçüm, kayıt, trend ve tanımlı karar kriteriyle desteklenir.</w:t>
            </w:r>
          </w:p>
        </w:tc>
      </w:tr>
      <w:tr>
        <w:trPr>
          <w:cantSplit w:val="1"/>
        </w:trPr>
        <w:tc>
          <w:tcPr>
            <w:tcW w:type="dxa" w:w="2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Bağımsız güvence korunur</w:t>
            </w:r>
          </w:p>
        </w:tc>
        <w:tc>
          <w:tcPr>
            <w:tcW w:type="dxa" w:w="69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QA/QC’nin serbest bırakma, karantina ve uygunsuzluk kararları ticari veya üretim baskısıyla geçersiz kılınamaz.</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Kontrol riskle orantılıdır</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Yüksek etkili risklerde önleyici, otomatik veya bağımsız kontroller tercih edilir; düşük riskte gereksiz bürokrasi üretilmez.</w:t>
            </w:r>
          </w:p>
        </w:tc>
      </w:tr>
      <w:tr>
        <w:trPr>
          <w:cantSplit w:val="1"/>
        </w:trPr>
        <w:tc>
          <w:tcPr>
            <w:tcW w:type="dxa" w:w="2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Değişiklik kontrollüdür</w:t>
            </w:r>
          </w:p>
        </w:tc>
        <w:tc>
          <w:tcPr>
            <w:tcW w:type="dxa" w:w="69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İyi niyetli iyileştirme dahi teknik etki, risk, validasyon, eğitim ve onay tamamlanmadan canlı prosese alınmaz.</w:t>
            </w:r>
          </w:p>
        </w:tc>
      </w:tr>
      <w:tr>
        <w:trPr>
          <w:cantSplit w:val="1"/>
        </w:trPr>
        <w:tc>
          <w:tcPr>
            <w:tcW w:type="dxa" w:w="2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Sistem öğrenir</w:t>
            </w:r>
          </w:p>
        </w:tc>
        <w:tc>
          <w:tcPr>
            <w:tcW w:type="dxa" w:w="69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Uygunsuzluk saklanmaz; hızla sınırlandırılır, kök neden doğrulanır ve öğrenme benzer proseslere yayılır.</w:t>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FFF7E6"/>
            <w:tcBorders>
              <w:top w:val="single" w:sz="5" w:space="0" w:color="E4C77B"/>
              <w:left w:val="single" w:sz="5" w:space="0" w:color="E4C77B"/>
              <w:bottom w:val="single" w:sz="5" w:space="0" w:color="E4C77B"/>
              <w:right w:val="single" w:sz="5" w:space="0" w:color="E4C77B"/>
              <w:insideH w:val="single" w:sz="5" w:space="0" w:color="E4C77B"/>
              <w:insideV w:val="single" w:sz="5" w:space="0" w:color="E4C77B"/>
            </w:tcBorders>
            <w:vAlign w:val="center"/>
            <w:tcMar>
              <w:top w:w="125" w:type="dxa"/>
              <w:bottom w:w="125" w:type="dxa"/>
              <w:start w:w="180" w:type="dxa"/>
              <w:end w:w="180" w:type="dxa"/>
            </w:tcMar>
          </w:tcPr>
          <w:p>
            <w:pPr>
              <w:spacing w:after="40" w:line="264" w:lineRule="auto"/>
            </w:pPr>
            <w:r>
              <w:rPr>
                <w:rFonts w:ascii="Arial" w:hAnsi="Arial" w:eastAsia="Arial"/>
                <w:b/>
                <w:color w:val="7A5A00"/>
                <w:sz w:val="21"/>
              </w:rPr>
              <w:t>Yönetim ilkesi</w:t>
            </w:r>
          </w:p>
          <w:p>
            <w:pPr>
              <w:spacing w:after="0" w:line="269" w:lineRule="auto"/>
            </w:pPr>
            <w:r>
              <w:rPr>
                <w:rFonts w:ascii="Arial" w:hAnsi="Arial" w:eastAsia="Arial"/>
                <w:color w:val="142536"/>
                <w:sz w:val="21"/>
              </w:rPr>
              <w:t>Hız, maliyet veya teslimat baskısı güvenlik, yasal uygunluk, ürün uygunluğu ya da veri bütünlüğü kapısını atlatma gerekçesi değildir. Çatışma olduğunda risk görünür kılınır ve yetkili yönetişim seviyesine yükseltilir.</w:t>
            </w:r>
          </w:p>
        </w:tc>
      </w:tr>
    </w:tbl>
    <w:p>
      <w:pPr>
        <w:spacing w:after="20"/>
        <w:widowControl w:val="1"/>
      </w:pPr>
    </w:p>
    <w:p>
      <w:pPr>
        <w:pStyle w:val="Heading1"/>
        <w:keepNext/>
        <w:pageBreakBefore w:val="0"/>
        <w:widowControl w:val="1"/>
      </w:pPr>
      <w:r>
        <w:rPr>
          <w:rFonts w:ascii="Arial" w:hAnsi="Arial" w:eastAsia="Arial"/>
          <w:b/>
          <w:color w:val="197B96"/>
          <w:sz w:val="34"/>
        </w:rPr>
        <w:t>5. Değerler ve beklenen davranışlar</w:t>
      </w:r>
    </w:p>
    <w:tbl>
      <w:tblPr>
        <w:tblStyle w:val="TableGrid"/>
        <w:tblW w:type="dxa" w:w="9630"/>
        <w:jc w:val="left"/>
        <w:tblLayout w:type="fixed"/>
        <w:tblLook w:firstColumn="1" w:firstRow="1" w:lastColumn="0" w:lastRow="0" w:noHBand="0" w:noVBand="1" w:val="04A0"/>
        <w:tblInd w:type="dxa" w:w="120"/>
      </w:tblPr>
      <w:tblGrid>
        <w:gridCol w:w="2000"/>
        <w:gridCol w:w="3900"/>
        <w:gridCol w:w="3730"/>
      </w:tblGrid>
      <w:tr>
        <w:trPr>
          <w:tblHeader w:val="true"/>
          <w:cantSplit w:val="1"/>
        </w:trPr>
        <w:tc>
          <w:tcPr>
            <w:tcW w:type="dxa" w:w="20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Değer</w:t>
            </w:r>
          </w:p>
        </w:tc>
        <w:tc>
          <w:tcPr>
            <w:tcW w:type="dxa" w:w="39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Beklenti</w:t>
            </w:r>
          </w:p>
        </w:tc>
        <w:tc>
          <w:tcPr>
            <w:tcW w:type="dxa" w:w="37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Gözlenebilir davranış</w:t>
            </w:r>
          </w:p>
        </w:tc>
      </w:tr>
      <w:tr>
        <w:trPr>
          <w:cantSplit w:val="1"/>
        </w:trPr>
        <w:tc>
          <w:tcPr>
            <w:tcW w:type="dxa" w:w="20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Kanıta dayalı dürüstlük</w:t>
            </w:r>
          </w:p>
        </w:tc>
        <w:tc>
          <w:tcPr>
            <w:tcW w:type="dxa" w:w="3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Veriyi seçmeden raporla; sonucu değiştirme, gizleme veya geriye dönük oluşturma.</w:t>
            </w:r>
          </w:p>
        </w:tc>
        <w:tc>
          <w:tcPr>
            <w:tcW w:type="dxa" w:w="3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Hata ve belirsizliği erken bildirir; ham veriyi korur.</w:t>
            </w:r>
          </w:p>
        </w:tc>
      </w:tr>
      <w:tr>
        <w:trPr>
          <w:cantSplit w:val="1"/>
        </w:trPr>
        <w:tc>
          <w:tcPr>
            <w:tcW w:type="dxa" w:w="20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Önce güvenlik</w:t>
            </w:r>
          </w:p>
        </w:tc>
        <w:tc>
          <w:tcPr>
            <w:tcW w:type="dxa" w:w="39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İnsan sağlığı ve proses güvenliği üretim hedefinin önündedir.</w:t>
            </w:r>
          </w:p>
        </w:tc>
        <w:tc>
          <w:tcPr>
            <w:tcW w:type="dxa" w:w="3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Emniyetsiz işi durdurur; LOTO/PPE/kimyasal kontrolleri bypass etmez.</w:t>
            </w:r>
          </w:p>
        </w:tc>
      </w:tr>
      <w:tr>
        <w:trPr>
          <w:cantSplit w:val="1"/>
        </w:trPr>
        <w:tc>
          <w:tcPr>
            <w:tcW w:type="dxa" w:w="20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Teknik disiplin</w:t>
            </w:r>
          </w:p>
        </w:tc>
        <w:tc>
          <w:tcPr>
            <w:tcW w:type="dxa" w:w="3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Reçete, metot, spesifikasyon ve değişiklik gerekçesi doğrulanır.</w:t>
            </w:r>
          </w:p>
        </w:tc>
        <w:tc>
          <w:tcPr>
            <w:tcW w:type="dxa" w:w="3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Varsayımı veriyle ayırır; validasyon olmadan genelleme yapmaz.</w:t>
            </w:r>
          </w:p>
        </w:tc>
      </w:tr>
      <w:tr>
        <w:trPr>
          <w:cantSplit w:val="1"/>
        </w:trPr>
        <w:tc>
          <w:tcPr>
            <w:tcW w:type="dxa" w:w="20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Sahiplik</w:t>
            </w:r>
          </w:p>
        </w:tc>
        <w:tc>
          <w:tcPr>
            <w:tcW w:type="dxa" w:w="39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Sorunu başka departmana aktarmak yerine çıktının sonucunu sahiplenir.</w:t>
            </w:r>
          </w:p>
        </w:tc>
        <w:tc>
          <w:tcPr>
            <w:tcW w:type="dxa" w:w="3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Karar, sorumlu, termin ve kapanış kanıtını netleştirir.</w:t>
            </w:r>
          </w:p>
        </w:tc>
      </w:tr>
      <w:tr>
        <w:trPr>
          <w:cantSplit w:val="1"/>
        </w:trPr>
        <w:tc>
          <w:tcPr>
            <w:tcW w:type="dxa" w:w="20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Müşteri sorumluluğu</w:t>
            </w:r>
          </w:p>
        </w:tc>
        <w:tc>
          <w:tcPr>
            <w:tcW w:type="dxa" w:w="3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Kısa vadeli satıştan önce ürünün gerçek kullanım performansını korur.</w:t>
            </w:r>
          </w:p>
        </w:tc>
        <w:tc>
          <w:tcPr>
            <w:tcW w:type="dxa" w:w="3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İddia–kanıt uyumunu ve saha geri bildirimini yönetir.</w:t>
            </w:r>
          </w:p>
        </w:tc>
      </w:tr>
      <w:tr>
        <w:trPr>
          <w:cantSplit w:val="1"/>
        </w:trPr>
        <w:tc>
          <w:tcPr>
            <w:tcW w:type="dxa" w:w="20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Öğrenme ve gelişim</w:t>
            </w:r>
          </w:p>
        </w:tc>
        <w:tc>
          <w:tcPr>
            <w:tcW w:type="dxa" w:w="39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Sapmayı kişisel suçlama değil sistem tasarımını iyileştirme girdisi olarak görür.</w:t>
            </w:r>
          </w:p>
        </w:tc>
        <w:tc>
          <w:tcPr>
            <w:tcW w:type="dxa" w:w="3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Etkinliği doğrular; öğrenmeyi prosedür ve eğitime taşır.</w:t>
            </w:r>
          </w:p>
        </w:tc>
      </w:tr>
      <w:tr>
        <w:trPr>
          <w:cantSplit w:val="1"/>
        </w:trPr>
        <w:tc>
          <w:tcPr>
            <w:tcW w:type="dxa" w:w="20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Kaynak ve çevre saygısı</w:t>
            </w:r>
          </w:p>
        </w:tc>
        <w:tc>
          <w:tcPr>
            <w:tcW w:type="dxa" w:w="3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Hammadde, su, enerji ve atığın çevresel etkisini yaşam döngüsü yaklaşımıyla yönetir.</w:t>
            </w:r>
          </w:p>
        </w:tc>
        <w:tc>
          <w:tcPr>
            <w:tcW w:type="dxa" w:w="3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Kayıp ve atığı ölçer; önleme ve geri kazanımı önceler.</w:t>
            </w:r>
          </w:p>
        </w:tc>
      </w:tr>
    </w:tbl>
    <w:p>
      <w:pPr>
        <w:spacing w:after="40"/>
        <w:widowControl w:val="1"/>
      </w:pPr>
    </w:p>
    <w:p>
      <w:pPr>
        <w:pStyle w:val="Heading1"/>
        <w:keepNext/>
        <w:pageBreakBefore w:val="0"/>
        <w:widowControl w:val="1"/>
      </w:pPr>
      <w:r>
        <w:rPr>
          <w:rFonts w:ascii="Arial" w:hAnsi="Arial" w:eastAsia="Arial"/>
          <w:b/>
          <w:color w:val="197B96"/>
          <w:sz w:val="34"/>
        </w:rPr>
        <w:t>6. İlgili taraflar ve gereksinim yönetimi</w:t>
      </w:r>
    </w:p>
    <w:p>
      <w:pPr>
        <w:spacing w:after="120"/>
        <w:widowControl w:val="1"/>
      </w:pPr>
      <w:r>
        <w:rPr>
          <w:rFonts w:ascii="Arial" w:hAnsi="Arial" w:eastAsia="Arial"/>
          <w:color w:val="142536"/>
          <w:sz w:val="21"/>
        </w:rPr>
        <w:t>SARL MAPA ALGÉRIE, ilgili tarafları yalnız listelemez; her tarafın ihtiyacını, uygulanabilir şartını, riski, sorumlu süreci, izleme yöntemini ve review sıklığını “İlgili Taraflar ve Uygunluk Yükümlülükleri Kaydı” içinde kontrol eder.</w:t>
      </w:r>
    </w:p>
    <w:tbl>
      <w:tblPr>
        <w:tblStyle w:val="TableGrid"/>
        <w:tblW w:type="dxa" w:w="9630"/>
        <w:jc w:val="left"/>
        <w:tblLayout w:type="fixed"/>
        <w:tblLook w:firstColumn="1" w:firstRow="1" w:lastColumn="0" w:lastRow="0" w:noHBand="0" w:noVBand="1" w:val="04A0"/>
        <w:tblInd w:type="dxa" w:w="120"/>
      </w:tblPr>
      <w:tblGrid>
        <w:gridCol w:w="2200"/>
        <w:gridCol w:w="4080"/>
        <w:gridCol w:w="3350"/>
      </w:tblGrid>
      <w:tr>
        <w:trPr>
          <w:tblHeader w:val="true"/>
          <w:cantSplit w:val="1"/>
        </w:trPr>
        <w:tc>
          <w:tcPr>
            <w:tcW w:type="dxa" w:w="22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İlgili taraf</w:t>
            </w:r>
          </w:p>
        </w:tc>
        <w:tc>
          <w:tcPr>
            <w:tcW w:type="dxa" w:w="408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Temel beklenti</w:t>
            </w:r>
          </w:p>
        </w:tc>
        <w:tc>
          <w:tcPr>
            <w:tcW w:type="dxa" w:w="33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Kontrol / izleme</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Müşteriler / uygulayıcılar</w:t>
            </w:r>
          </w:p>
        </w:tc>
        <w:tc>
          <w:tcPr>
            <w:tcW w:type="dxa" w:w="40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Tutarlı performans, teknik destek, doğru belge ve zamanında teslim</w:t>
            </w:r>
          </w:p>
        </w:tc>
        <w:tc>
          <w:tcPr>
            <w:tcW w:type="dxa" w:w="33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Şartname review, şikâyet, saha performansı, OTD</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Çalışanlar / yükleniciler</w:t>
            </w:r>
          </w:p>
        </w:tc>
        <w:tc>
          <w:tcPr>
            <w:tcW w:type="dxa" w:w="40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Güvenli iş, net yetki, yetkinlik ve adil öğrenme kültürü</w:t>
            </w:r>
          </w:p>
        </w:tc>
        <w:tc>
          <w:tcPr>
            <w:tcW w:type="dxa" w:w="33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Risk değerlendirme, eğitim, yetkilendirme, olay kayıtları</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Tedarikçiler</w:t>
            </w:r>
          </w:p>
        </w:tc>
        <w:tc>
          <w:tcPr>
            <w:tcW w:type="dxa" w:w="40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Açık şart, öngörülebilir değerlendirme ve değişiklik iletişimi</w:t>
            </w:r>
          </w:p>
        </w:tc>
        <w:tc>
          <w:tcPr>
            <w:tcW w:type="dxa" w:w="33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ASL, kalite anlaşması, CoA, audit ve performans skoru</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Kamu otoriteleri</w:t>
            </w:r>
          </w:p>
        </w:tc>
        <w:tc>
          <w:tcPr>
            <w:tcW w:type="dxa" w:w="40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Yasal, çevresel, iş sağlığı-güvenliği ve kimyasal uygunluk</w:t>
            </w:r>
          </w:p>
        </w:tc>
        <w:tc>
          <w:tcPr>
            <w:tcW w:type="dxa" w:w="33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Yasal register, izinler, beyanlar, periyodik uygunluk review</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Ortaklar / yönetim</w:t>
            </w:r>
          </w:p>
        </w:tc>
        <w:tc>
          <w:tcPr>
            <w:tcW w:type="dxa" w:w="40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Sürdürülebilir büyüme, risk görünürlüğü ve kaynak disiplini</w:t>
            </w:r>
          </w:p>
        </w:tc>
        <w:tc>
          <w:tcPr>
            <w:tcW w:type="dxa" w:w="33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YGG, SQDCP, yatırım ve risk portföyü</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Toplum / çevre</w:t>
            </w:r>
          </w:p>
        </w:tc>
        <w:tc>
          <w:tcPr>
            <w:tcW w:type="dxa" w:w="40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Kirliliğin önlenmesi, güvenli depolama ve sorumlu kaynak kullanımı</w:t>
            </w:r>
          </w:p>
        </w:tc>
        <w:tc>
          <w:tcPr>
            <w:tcW w:type="dxa" w:w="33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Atık, emisyon, döküntü, su/enerji ve acil durum performansı</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Belgelendirme / akreditasyon</w:t>
            </w:r>
          </w:p>
        </w:tc>
        <w:tc>
          <w:tcPr>
            <w:tcW w:type="dxa" w:w="40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Sistem etkinliği, tarafsızlık ve objektif kanıt</w:t>
            </w:r>
          </w:p>
        </w:tc>
        <w:tc>
          <w:tcPr>
            <w:tcW w:type="dxa" w:w="33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Audit, yetkinlik, kayıt ve düzeltici faaliyet sonuçları</w:t>
            </w:r>
          </w:p>
        </w:tc>
      </w:tr>
    </w:tbl>
    <w:p>
      <w:pPr>
        <w:spacing w:after="40"/>
        <w:widowControl w:val="1"/>
      </w:pPr>
    </w:p>
    <w:p>
      <w:pPr>
        <w:pStyle w:val="Heading2"/>
        <w:keepNext/>
        <w:widowControl w:val="1"/>
      </w:pPr>
      <w:r>
        <w:rPr>
          <w:rFonts w:ascii="Arial" w:hAnsi="Arial" w:eastAsia="Arial"/>
          <w:b/>
          <w:color w:val="183A59"/>
          <w:sz w:val="25"/>
        </w:rPr>
        <w:t>6.1 Gereksinim dönüşüm kuralı</w:t>
      </w:r>
    </w:p>
    <w:p>
      <w:pPr>
        <w:spacing w:after="80" w:line="280" w:lineRule="auto"/>
        <w:ind w:left="720" w:hanging="360"/>
        <w:numPr>
          <w:ilvl w:val="0"/>
          <w:numId w:val="11"/>
        </w:numPr>
        <w:widowControl w:val="1"/>
      </w:pPr>
      <w:r>
        <w:rPr>
          <w:rFonts w:ascii="Arial" w:hAnsi="Arial" w:eastAsia="Arial"/>
          <w:color w:val="142536"/>
          <w:sz w:val="21"/>
        </w:rPr>
        <w:t>İhtiyaç veya yükümlülüğü tanımla ve kaynağını doğrula.</w:t>
      </w:r>
    </w:p>
    <w:p>
      <w:pPr>
        <w:spacing w:after="80" w:line="280" w:lineRule="auto"/>
        <w:ind w:left="720" w:hanging="360"/>
        <w:numPr>
          <w:ilvl w:val="0"/>
          <w:numId w:val="11"/>
        </w:numPr>
        <w:widowControl w:val="1"/>
      </w:pPr>
      <w:r>
        <w:rPr>
          <w:rFonts w:ascii="Arial" w:hAnsi="Arial" w:eastAsia="Arial"/>
          <w:color w:val="142536"/>
          <w:sz w:val="21"/>
        </w:rPr>
        <w:t>Uygulanabilirliği, etkilediği ürün/proses ve risk seviyesini belirle.</w:t>
      </w:r>
    </w:p>
    <w:p>
      <w:pPr>
        <w:spacing w:after="80" w:line="280" w:lineRule="auto"/>
        <w:ind w:left="720" w:hanging="360"/>
        <w:numPr>
          <w:ilvl w:val="0"/>
          <w:numId w:val="11"/>
        </w:numPr>
        <w:widowControl w:val="1"/>
      </w:pPr>
      <w:r>
        <w:rPr>
          <w:rFonts w:ascii="Arial" w:hAnsi="Arial" w:eastAsia="Arial"/>
          <w:color w:val="142536"/>
          <w:sz w:val="21"/>
        </w:rPr>
        <w:t>Şartı spesifikasyon, kontrol planı, prosedür, hedef veya yetkinlik kriterine dönüştür.</w:t>
      </w:r>
    </w:p>
    <w:p>
      <w:pPr>
        <w:spacing w:after="80" w:line="280" w:lineRule="auto"/>
        <w:ind w:left="720" w:hanging="360"/>
        <w:numPr>
          <w:ilvl w:val="0"/>
          <w:numId w:val="11"/>
        </w:numPr>
        <w:widowControl w:val="1"/>
      </w:pPr>
      <w:r>
        <w:rPr>
          <w:rFonts w:ascii="Arial" w:hAnsi="Arial" w:eastAsia="Arial"/>
          <w:color w:val="142536"/>
          <w:sz w:val="21"/>
        </w:rPr>
        <w:t>Sorumlu, kayıt, ölçüm, review ve değişiklik tetikleyicisini ata.</w:t>
      </w:r>
    </w:p>
    <w:p>
      <w:pPr>
        <w:spacing w:after="80" w:line="280" w:lineRule="auto"/>
        <w:ind w:left="720" w:hanging="360"/>
        <w:numPr>
          <w:ilvl w:val="0"/>
          <w:numId w:val="11"/>
        </w:numPr>
        <w:widowControl w:val="1"/>
      </w:pPr>
      <w:r>
        <w:rPr>
          <w:rFonts w:ascii="Arial" w:hAnsi="Arial" w:eastAsia="Arial"/>
          <w:color w:val="142536"/>
          <w:sz w:val="21"/>
        </w:rPr>
        <w:t>Uygunluğu kanıtla; sapmada NCR/CAPA veya MOC sürecini başlat.</w:t>
      </w:r>
    </w:p>
    <w:p>
      <w:pPr>
        <w:pStyle w:val="Heading1"/>
        <w:keepNext/>
        <w:pageBreakBefore w:val="0"/>
        <w:widowControl w:val="1"/>
      </w:pPr>
      <w:r>
        <w:rPr>
          <w:rFonts w:ascii="Arial" w:hAnsi="Arial" w:eastAsia="Arial"/>
          <w:b/>
          <w:color w:val="197B96"/>
          <w:sz w:val="34"/>
        </w:rPr>
        <w:t>7. Süreç bazlı işletim modeli</w:t>
      </w:r>
    </w:p>
    <w:p>
      <w:pPr>
        <w:spacing w:after="120"/>
        <w:widowControl w:val="1"/>
      </w:pPr>
      <w:r>
        <w:rPr>
          <w:rFonts w:ascii="Arial" w:hAnsi="Arial" w:eastAsia="Arial"/>
          <w:color w:val="142536"/>
          <w:sz w:val="21"/>
        </w:rPr>
        <w:t>SARL MAPA ALGÉRIE organizasyonu departman kutularından önce süreçlerle tasarlanır. Her süreç; tanımlı amaç, girdi, çıktı, müşteri, sahip, yetki, kaynak, risk, kontrol, kayıt ve KPI ile yönetilir. Organizasyon şeması bu süreci desteklemek için MAPA-CDD-002’de kurulur.</w:t>
      </w:r>
    </w:p>
    <w:p>
      <w:pPr>
        <w:widowControl w:val="1"/>
      </w:pPr>
      <w:r/>
    </w:p>
    <w:p>
      <w:pPr>
        <w:pStyle w:val="KRMIXCaption"/>
        <w:jc w:val="center"/>
        <w:widowControl w:val="1"/>
      </w:pPr>
      <w:r>
        <w:t>Şekil 1 — SARL MAPA ALGÉRIE süreç bazlı işletim modeli</w:t>
      </w:r>
    </w:p>
    <w:p>
      <w:pPr>
        <w:pStyle w:val="Heading2"/>
        <w:keepNext/>
        <w:widowControl w:val="1"/>
      </w:pPr>
      <w:r>
        <w:rPr>
          <w:rFonts w:ascii="Arial" w:hAnsi="Arial" w:eastAsia="Arial"/>
          <w:b/>
          <w:color w:val="183A59"/>
          <w:sz w:val="25"/>
        </w:rPr>
        <w:t>7.1 Süreç aileleri</w:t>
      </w:r>
    </w:p>
    <w:tbl>
      <w:tblPr>
        <w:tblStyle w:val="TableGrid"/>
        <w:tblW w:type="dxa" w:w="9630"/>
        <w:jc w:val="left"/>
        <w:tblLayout w:type="fixed"/>
        <w:tblLook w:firstColumn="1" w:firstRow="1" w:lastColumn="0" w:lastRow="0" w:noHBand="0" w:noVBand="1" w:val="04A0"/>
        <w:tblInd w:type="dxa" w:w="120"/>
      </w:tblPr>
      <w:tblGrid>
        <w:gridCol w:w="2150"/>
        <w:gridCol w:w="4850"/>
        <w:gridCol w:w="2630"/>
      </w:tblGrid>
      <w:tr>
        <w:trPr>
          <w:tblHeader w:val="true"/>
          <w:cantSplit w:val="1"/>
        </w:trPr>
        <w:tc>
          <w:tcPr>
            <w:tcW w:type="dxa" w:w="21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Süreç ailesi</w:t>
            </w:r>
          </w:p>
        </w:tc>
        <w:tc>
          <w:tcPr>
            <w:tcW w:type="dxa" w:w="48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Ana sorumluluk</w:t>
            </w:r>
          </w:p>
        </w:tc>
        <w:tc>
          <w:tcPr>
            <w:tcW w:type="dxa" w:w="26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Temel çıktı</w:t>
            </w:r>
          </w:p>
        </w:tc>
      </w:tr>
      <w:tr>
        <w:trPr>
          <w:cantSplit w:val="1"/>
        </w:trPr>
        <w:tc>
          <w:tcPr>
            <w:tcW w:type="dxa" w:w="21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Yönetim</w:t>
            </w:r>
          </w:p>
        </w:tc>
        <w:tc>
          <w:tcPr>
            <w:tcW w:type="dxa" w:w="48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Strateji, politika, hedef, risk, kaynak, YGG ve portföy</w:t>
            </w:r>
          </w:p>
        </w:tc>
        <w:tc>
          <w:tcPr>
            <w:tcW w:type="dxa" w:w="26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Onaylı yön ve kaynak kararı</w:t>
            </w:r>
          </w:p>
        </w:tc>
      </w:tr>
      <w:tr>
        <w:trPr>
          <w:cantSplit w:val="1"/>
        </w:trPr>
        <w:tc>
          <w:tcPr>
            <w:tcW w:type="dxa" w:w="21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Değer akışı</w:t>
            </w:r>
          </w:p>
        </w:tc>
        <w:tc>
          <w:tcPr>
            <w:tcW w:type="dxa" w:w="48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Müşteri ihtiyacından ürün tasarımı, tedarik, üretim, QC ve teslimata kadar uçtan uca gerçekleştirme</w:t>
            </w:r>
          </w:p>
        </w:tc>
        <w:tc>
          <w:tcPr>
            <w:tcW w:type="dxa" w:w="26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Uygun ürün ve müşteri sonucu</w:t>
            </w:r>
          </w:p>
        </w:tc>
      </w:tr>
      <w:tr>
        <w:trPr>
          <w:cantSplit w:val="1"/>
        </w:trPr>
        <w:tc>
          <w:tcPr>
            <w:tcW w:type="dxa" w:w="21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Destek</w:t>
            </w:r>
          </w:p>
        </w:tc>
        <w:tc>
          <w:tcPr>
            <w:tcW w:type="dxa" w:w="48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İnsan, bakım, metroloji, HSE, IT/OT, finans ve idari altyapı</w:t>
            </w:r>
          </w:p>
        </w:tc>
        <w:tc>
          <w:tcPr>
            <w:tcW w:type="dxa" w:w="26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Yetkin ve kullanılabilir kapasite</w:t>
            </w:r>
          </w:p>
        </w:tc>
      </w:tr>
      <w:tr>
        <w:trPr>
          <w:cantSplit w:val="1"/>
        </w:trPr>
        <w:tc>
          <w:tcPr>
            <w:tcW w:type="dxa" w:w="21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Güvence / iyileştirme</w:t>
            </w:r>
          </w:p>
        </w:tc>
        <w:tc>
          <w:tcPr>
            <w:tcW w:type="dxa" w:w="48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Doküman, audit, NCR/CAPA, uygunluk, veri trendi ve bilgi yönetimi</w:t>
            </w:r>
          </w:p>
        </w:tc>
        <w:tc>
          <w:tcPr>
            <w:tcW w:type="dxa" w:w="26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Sistem güveni ve öğrenme</w:t>
            </w:r>
          </w:p>
        </w:tc>
      </w:tr>
    </w:tbl>
    <w:p>
      <w:pPr>
        <w:spacing w:after="40"/>
        <w:widowControl w:val="1"/>
      </w:pPr>
    </w:p>
    <w:p>
      <w:pPr>
        <w:pStyle w:val="Heading2"/>
        <w:keepNext/>
        <w:widowControl w:val="1"/>
      </w:pPr>
      <w:r>
        <w:rPr>
          <w:rFonts w:ascii="Arial" w:hAnsi="Arial" w:eastAsia="Arial"/>
          <w:b/>
          <w:color w:val="183A59"/>
          <w:sz w:val="25"/>
        </w:rPr>
        <w:t>7.2 Süreç tasarım standardı</w:t>
      </w:r>
    </w:p>
    <w:p>
      <w:pPr>
        <w:spacing w:after="80" w:line="280" w:lineRule="auto"/>
        <w:ind w:left="720" w:hanging="360"/>
        <w:numPr>
          <w:ilvl w:val="0"/>
          <w:numId w:val="10"/>
        </w:numPr>
        <w:widowControl w:val="1"/>
      </w:pPr>
      <w:r>
        <w:rPr>
          <w:rFonts w:ascii="Arial" w:hAnsi="Arial" w:eastAsia="Arial"/>
          <w:color w:val="142536"/>
          <w:sz w:val="21"/>
        </w:rPr>
        <w:t>Süreç sahibinin tek bir unvanla tanımlanması ve uçtan uca sonuçtan hesap vermesi.</w:t>
      </w:r>
    </w:p>
    <w:p>
      <w:pPr>
        <w:spacing w:after="80" w:line="280" w:lineRule="auto"/>
        <w:ind w:left="720" w:hanging="360"/>
        <w:numPr>
          <w:ilvl w:val="0"/>
          <w:numId w:val="10"/>
        </w:numPr>
        <w:widowControl w:val="1"/>
      </w:pPr>
      <w:r>
        <w:rPr>
          <w:rFonts w:ascii="Arial" w:hAnsi="Arial" w:eastAsia="Arial"/>
          <w:color w:val="142536"/>
          <w:sz w:val="21"/>
        </w:rPr>
        <w:t>Girdi/çıktı ve iç müşteri–tedarikçi arayüzlerinin açık tanımlanması.</w:t>
      </w:r>
    </w:p>
    <w:p>
      <w:pPr>
        <w:spacing w:after="80" w:line="280" w:lineRule="auto"/>
        <w:ind w:left="720" w:hanging="360"/>
        <w:numPr>
          <w:ilvl w:val="0"/>
          <w:numId w:val="10"/>
        </w:numPr>
        <w:widowControl w:val="1"/>
      </w:pPr>
      <w:r>
        <w:rPr>
          <w:rFonts w:ascii="Arial" w:hAnsi="Arial" w:eastAsia="Arial"/>
          <w:color w:val="142536"/>
          <w:sz w:val="21"/>
        </w:rPr>
        <w:t>Kritik kontrol noktalarının, karar limitlerinin ve stop-work kriterlerinin yazılması.</w:t>
      </w:r>
    </w:p>
    <w:p>
      <w:pPr>
        <w:spacing w:after="80" w:line="280" w:lineRule="auto"/>
        <w:ind w:left="720" w:hanging="360"/>
        <w:numPr>
          <w:ilvl w:val="0"/>
          <w:numId w:val="10"/>
        </w:numPr>
        <w:widowControl w:val="1"/>
      </w:pPr>
      <w:r>
        <w:rPr>
          <w:rFonts w:ascii="Arial" w:hAnsi="Arial" w:eastAsia="Arial"/>
          <w:color w:val="142536"/>
          <w:sz w:val="21"/>
        </w:rPr>
        <w:t>Kayıtların ALCOA+ ilkesine göre tutulması ve master data ile ilişkilendirilmesi.</w:t>
      </w:r>
    </w:p>
    <w:p>
      <w:pPr>
        <w:spacing w:after="80" w:line="280" w:lineRule="auto"/>
        <w:ind w:left="720" w:hanging="360"/>
        <w:numPr>
          <w:ilvl w:val="0"/>
          <w:numId w:val="10"/>
        </w:numPr>
        <w:widowControl w:val="1"/>
      </w:pPr>
      <w:r>
        <w:rPr>
          <w:rFonts w:ascii="Arial" w:hAnsi="Arial" w:eastAsia="Arial"/>
          <w:color w:val="142536"/>
          <w:sz w:val="21"/>
        </w:rPr>
        <w:t>KPI’ların formül, veri kaynağı, sahip, hedef, sıklık ve escalation eşiğiyle tanımlanması.</w:t>
      </w:r>
    </w:p>
    <w:p>
      <w:pPr>
        <w:spacing w:after="80" w:line="280" w:lineRule="auto"/>
        <w:ind w:left="720" w:hanging="360"/>
        <w:numPr>
          <w:ilvl w:val="0"/>
          <w:numId w:val="10"/>
        </w:numPr>
        <w:widowControl w:val="1"/>
      </w:pPr>
      <w:r>
        <w:rPr>
          <w:rFonts w:ascii="Arial" w:hAnsi="Arial" w:eastAsia="Arial"/>
          <w:color w:val="142536"/>
          <w:sz w:val="21"/>
        </w:rPr>
        <w:t>İlk risk ve artık riskin kontrol kanıtıyla ayrı değerlendirilmesi.</w:t>
      </w:r>
    </w:p>
    <w:p>
      <w:pPr>
        <w:pStyle w:val="Heading1"/>
        <w:keepNext/>
        <w:pageBreakBefore/>
        <w:widowControl w:val="1"/>
      </w:pPr>
      <w:r>
        <w:rPr>
          <w:rFonts w:ascii="Arial" w:hAnsi="Arial" w:eastAsia="Arial"/>
          <w:b/>
          <w:color w:val="197B96"/>
          <w:sz w:val="34"/>
        </w:rPr>
        <w:t>8. Yönetişim, bağımsızlık ve karar hakları</w:t>
      </w:r>
    </w:p>
    <w:p>
      <w:pPr>
        <w:pStyle w:val="Heading2"/>
        <w:keepNext/>
        <w:widowControl w:val="1"/>
      </w:pPr>
      <w:r>
        <w:rPr>
          <w:rFonts w:ascii="Arial" w:hAnsi="Arial" w:eastAsia="Arial"/>
          <w:b/>
          <w:color w:val="183A59"/>
          <w:sz w:val="25"/>
        </w:rPr>
        <w:t>8.1 Yönetişim modeli</w:t>
      </w:r>
    </w:p>
    <w:tbl>
      <w:tblPr>
        <w:tblStyle w:val="TableGrid"/>
        <w:tblW w:type="dxa" w:w="9630"/>
        <w:jc w:val="left"/>
        <w:tblLayout w:type="fixed"/>
        <w:tblLook w:firstColumn="1" w:firstRow="1" w:lastColumn="0" w:lastRow="0" w:noHBand="0" w:noVBand="1" w:val="04A0"/>
        <w:tblInd w:type="dxa" w:w="120"/>
      </w:tblPr>
      <w:tblGrid>
        <w:gridCol w:w="1700"/>
        <w:gridCol w:w="2300"/>
        <w:gridCol w:w="3230"/>
        <w:gridCol w:w="2400"/>
      </w:tblGrid>
      <w:tr>
        <w:trPr>
          <w:tblHeader w:val="true"/>
          <w:cantSplit w:val="1"/>
        </w:trPr>
        <w:tc>
          <w:tcPr>
            <w:tcW w:type="dxa" w:w="17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Hat</w:t>
            </w:r>
          </w:p>
        </w:tc>
        <w:tc>
          <w:tcPr>
            <w:tcW w:type="dxa" w:w="23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Birincil rol</w:t>
            </w:r>
          </w:p>
        </w:tc>
        <w:tc>
          <w:tcPr>
            <w:tcW w:type="dxa" w:w="32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Sorumluluk</w:t>
            </w:r>
          </w:p>
        </w:tc>
        <w:tc>
          <w:tcPr>
            <w:tcW w:type="dxa" w:w="24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Bağımsızlık ilkesi</w:t>
            </w:r>
          </w:p>
        </w:tc>
      </w:tr>
      <w:tr>
        <w:trPr>
          <w:cantSplit w:val="1"/>
        </w:trPr>
        <w:tc>
          <w:tcPr>
            <w:tcW w:type="dxa" w:w="1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1. hat — süreç kontrolü</w:t>
            </w:r>
          </w:p>
        </w:tc>
        <w:tc>
          <w:tcPr>
            <w:tcW w:type="dxa" w:w="23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Süreç sahipleri ve operasyon</w:t>
            </w:r>
          </w:p>
        </w:tc>
        <w:tc>
          <w:tcPr>
            <w:tcW w:type="dxa" w:w="32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Riski günlük işte yönetmek, şartlara uygun çıktı ve kayıt üretmek</w:t>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Kendi kontrolünü uygular; sonucu saklayamaz veya kriteri değiştiremez.</w:t>
            </w:r>
          </w:p>
        </w:tc>
      </w:tr>
      <w:tr>
        <w:trPr>
          <w:cantSplit w:val="1"/>
        </w:trPr>
        <w:tc>
          <w:tcPr>
            <w:tcW w:type="dxa" w:w="1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2. hat — güvence</w:t>
            </w:r>
          </w:p>
        </w:tc>
        <w:tc>
          <w:tcPr>
            <w:tcW w:type="dxa" w:w="23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QA/QC, HSE, metroloji ve uygunluk rolleri</w:t>
            </w:r>
          </w:p>
        </w:tc>
        <w:tc>
          <w:tcPr>
            <w:tcW w:type="dxa" w:w="32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Kriter koymak, bağımsız doğrulamak, uygunluk ve risk görünürlüğünü sağlamak</w:t>
            </w:r>
          </w:p>
        </w:tc>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Ticari/üretim baskısından bağımsız stop, hold ve escalation yetkisi.</w:t>
            </w:r>
          </w:p>
        </w:tc>
      </w:tr>
      <w:tr>
        <w:trPr>
          <w:cantSplit w:val="1"/>
        </w:trPr>
        <w:tc>
          <w:tcPr>
            <w:tcW w:type="dxa" w:w="1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3. hat — bağımsız review</w:t>
            </w:r>
          </w:p>
        </w:tc>
        <w:tc>
          <w:tcPr>
            <w:tcW w:type="dxa" w:w="23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İç tetkik ve üst yönetim gözetimi</w:t>
            </w:r>
          </w:p>
        </w:tc>
        <w:tc>
          <w:tcPr>
            <w:tcW w:type="dxa" w:w="32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Sistemin tasarım ve etkinliğini tarafsız örnekleme ile değerlendirmek</w:t>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Kendi yürüttüğü işi denetlemez; doğrudan üst yönetime raporlar.</w:t>
            </w:r>
          </w:p>
        </w:tc>
      </w:tr>
    </w:tbl>
    <w:p>
      <w:pPr>
        <w:spacing w:after="40"/>
        <w:widowControl w:val="1"/>
      </w:pPr>
    </w:p>
    <w:p>
      <w:pPr>
        <w:pStyle w:val="Heading2"/>
        <w:keepNext/>
        <w:widowControl w:val="1"/>
      </w:pPr>
      <w:r>
        <w:rPr>
          <w:rFonts w:ascii="Arial" w:hAnsi="Arial" w:eastAsia="Arial"/>
          <w:b/>
          <w:color w:val="183A59"/>
          <w:sz w:val="25"/>
        </w:rPr>
        <w:t>8.2 Karar seviyeleri</w:t>
      </w:r>
    </w:p>
    <w:tbl>
      <w:tblPr>
        <w:tblStyle w:val="TableGrid"/>
        <w:tblW w:type="dxa" w:w="9630"/>
        <w:jc w:val="left"/>
        <w:tblLayout w:type="fixed"/>
        <w:tblLook w:firstColumn="1" w:firstRow="1" w:lastColumn="0" w:lastRow="0" w:noHBand="0" w:noVBand="1" w:val="04A0"/>
        <w:tblInd w:type="dxa" w:w="120"/>
      </w:tblPr>
      <w:tblGrid>
        <w:gridCol w:w="1450"/>
        <w:gridCol w:w="2650"/>
        <w:gridCol w:w="3280"/>
        <w:gridCol w:w="2250"/>
      </w:tblGrid>
      <w:tr>
        <w:trPr>
          <w:tblHeader w:val="true"/>
          <w:cantSplit w:val="1"/>
        </w:trPr>
        <w:tc>
          <w:tcPr>
            <w:tcW w:type="dxa" w:w="14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Seviye</w:t>
            </w:r>
          </w:p>
        </w:tc>
        <w:tc>
          <w:tcPr>
            <w:tcW w:type="dxa" w:w="26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Karar türü</w:t>
            </w:r>
          </w:p>
        </w:tc>
        <w:tc>
          <w:tcPr>
            <w:tcW w:type="dxa" w:w="328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Örnek</w:t>
            </w:r>
          </w:p>
        </w:tc>
        <w:tc>
          <w:tcPr>
            <w:tcW w:type="dxa" w:w="22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Kayıt / escalation</w:t>
            </w:r>
          </w:p>
        </w:tc>
      </w:tr>
      <w:tr>
        <w:trPr>
          <w:cantSplit w:val="1"/>
        </w:trPr>
        <w:tc>
          <w:tcPr>
            <w:tcW w:type="dxa" w:w="14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D1 — standart operasyon</w:t>
            </w:r>
          </w:p>
        </w:tc>
        <w:tc>
          <w:tcPr>
            <w:tcW w:type="dxa" w:w="2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Onaylı limit ve talimat içindeki günlük karar</w:t>
            </w:r>
          </w:p>
        </w:tc>
        <w:tc>
          <w:tcPr>
            <w:tcW w:type="dxa" w:w="32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Batch adımı, numune, depo issue, planlı bakım</w:t>
            </w:r>
          </w:p>
        </w:tc>
        <w:tc>
          <w:tcPr>
            <w:tcW w:type="dxa" w:w="22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İlgili operasyon kaydı; limit aşımında D2</w:t>
            </w:r>
          </w:p>
        </w:tc>
      </w:tr>
      <w:tr>
        <w:trPr>
          <w:cantSplit w:val="1"/>
        </w:trPr>
        <w:tc>
          <w:tcPr>
            <w:tcW w:type="dxa" w:w="14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D2 — çapraz fonksiyon</w:t>
            </w:r>
          </w:p>
        </w:tc>
        <w:tc>
          <w:tcPr>
            <w:tcW w:type="dxa" w:w="2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Sapma, öncelik veya teknik/operasyonel trade-off</w:t>
            </w:r>
          </w:p>
        </w:tc>
        <w:tc>
          <w:tcPr>
            <w:tcW w:type="dxa" w:w="32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HOLD lot, rework önerisi, arıza etkisi, kritik tedarik</w:t>
            </w:r>
          </w:p>
        </w:tc>
        <w:tc>
          <w:tcPr>
            <w:tcW w:type="dxa" w:w="22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NCR/MOC/teknik review; yüksek riskte D3</w:t>
            </w:r>
          </w:p>
        </w:tc>
      </w:tr>
      <w:tr>
        <w:trPr>
          <w:cantSplit w:val="1"/>
        </w:trPr>
        <w:tc>
          <w:tcPr>
            <w:tcW w:type="dxa" w:w="14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D3 — yönetim</w:t>
            </w:r>
          </w:p>
        </w:tc>
        <w:tc>
          <w:tcPr>
            <w:tcW w:type="dxa" w:w="2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Strateji, portföy, kaynak ve kabul edilebilir risk</w:t>
            </w:r>
          </w:p>
        </w:tc>
        <w:tc>
          <w:tcPr>
            <w:tcW w:type="dxa" w:w="32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Yeni ürün/pazar, büyük CAPEX, ciddi müşteri veya compliance riski</w:t>
            </w:r>
          </w:p>
        </w:tc>
        <w:tc>
          <w:tcPr>
            <w:tcW w:type="dxa" w:w="22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Yönetim kararı, risk kabulü ve uygulama planı</w:t>
            </w:r>
          </w:p>
        </w:tc>
      </w:tr>
      <w:tr>
        <w:trPr>
          <w:cantSplit w:val="1"/>
        </w:trPr>
        <w:tc>
          <w:tcPr>
            <w:tcW w:type="dxa" w:w="14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D4 — kriz / süreklilik</w:t>
            </w:r>
          </w:p>
        </w:tc>
        <w:tc>
          <w:tcPr>
            <w:tcW w:type="dxa" w:w="2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İnsan, çevre, ürün veya itibar için acil koordinasyon</w:t>
            </w:r>
          </w:p>
        </w:tc>
        <w:tc>
          <w:tcPr>
            <w:tcW w:type="dxa" w:w="32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Ciddi olay, yaygın ürün riski, büyük döküntü, uzun duruş</w:t>
            </w:r>
          </w:p>
        </w:tc>
        <w:tc>
          <w:tcPr>
            <w:tcW w:type="dxa" w:w="22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Acil durum/kriz kaydı; yasal ve müşteri bildirimi</w:t>
            </w:r>
          </w:p>
        </w:tc>
      </w:tr>
    </w:tbl>
    <w:p>
      <w:pPr>
        <w:spacing w:after="40"/>
        <w:widowControl w:val="1"/>
      </w:pPr>
    </w:p>
    <w:p>
      <w:pPr>
        <w:pStyle w:val="Heading2"/>
        <w:keepNext/>
        <w:widowControl w:val="1"/>
      </w:pPr>
      <w:r>
        <w:rPr>
          <w:rFonts w:ascii="Arial" w:hAnsi="Arial" w:eastAsia="Arial"/>
          <w:b/>
          <w:color w:val="183A59"/>
          <w:sz w:val="25"/>
        </w:rPr>
        <w:t>8.3 Korunan yetkiler</w:t>
      </w:r>
    </w:p>
    <w:tbl>
      <w:tblPr>
        <w:tblStyle w:val="TableGrid"/>
        <w:tblW w:type="dxa" w:w="9630"/>
        <w:jc w:val="left"/>
        <w:tblLayout w:type="fixed"/>
        <w:tblLook w:firstColumn="1" w:firstRow="1" w:lastColumn="0" w:lastRow="0" w:noHBand="0" w:noVBand="1" w:val="04A0"/>
        <w:tblInd w:type="dxa" w:w="120"/>
      </w:tblPr>
      <w:tblGrid>
        <w:gridCol w:w="2600"/>
        <w:gridCol w:w="7030"/>
      </w:tblGrid>
      <w:tr>
        <w:trPr>
          <w:tblHeader w:val="true"/>
          <w:cantSplit w:val="1"/>
        </w:trPr>
        <w:tc>
          <w:tcPr>
            <w:tcW w:type="dxa" w:w="26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Yetki sahibi</w:t>
            </w:r>
          </w:p>
        </w:tc>
        <w:tc>
          <w:tcPr>
            <w:tcW w:type="dxa" w:w="70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Korunan stop / hold / red yetkisi</w:t>
            </w:r>
          </w:p>
        </w:tc>
      </w:tr>
      <w:tr>
        <w:trPr>
          <w:cantSplit w:val="1"/>
        </w:trPr>
        <w:tc>
          <w:tcPr>
            <w:tcW w:type="dxa" w:w="2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QA/QC</w:t>
            </w:r>
          </w:p>
        </w:tc>
        <w:tc>
          <w:tcPr>
            <w:tcW w:type="dxa" w:w="70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Lot/batch/iş emri karantina veya HOLD, red, serbest bırakmayı reddetme, sevkiyatı bloke etme, bağımsız OOS/NCR başlatma</w:t>
            </w:r>
          </w:p>
        </w:tc>
      </w:tr>
      <w:tr>
        <w:trPr>
          <w:cantSplit w:val="1"/>
        </w:trPr>
        <w:tc>
          <w:tcPr>
            <w:tcW w:type="dxa" w:w="26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HSE</w:t>
            </w:r>
          </w:p>
        </w:tc>
        <w:tc>
          <w:tcPr>
            <w:tcW w:type="dxa" w:w="70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Emniyetsiz işi durdurma, alanı izole etme, acil durum ve çevresel müdahaleyi başlatma</w:t>
            </w:r>
          </w:p>
        </w:tc>
      </w:tr>
      <w:tr>
        <w:trPr>
          <w:cantSplit w:val="1"/>
        </w:trPr>
        <w:tc>
          <w:tcPr>
            <w:tcW w:type="dxa" w:w="2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Bakım / yetkili teknik</w:t>
            </w:r>
          </w:p>
        </w:tc>
        <w:tc>
          <w:tcPr>
            <w:tcW w:type="dxa" w:w="70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Emniyetsiz veya ölçüm açısından geçersiz ekipmanı kullanım dışı bırakma</w:t>
            </w:r>
          </w:p>
        </w:tc>
      </w:tr>
      <w:tr>
        <w:trPr>
          <w:cantSplit w:val="1"/>
        </w:trPr>
        <w:tc>
          <w:tcPr>
            <w:tcW w:type="dxa" w:w="26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AR-GE / teknik + QA</w:t>
            </w:r>
          </w:p>
        </w:tc>
        <w:tc>
          <w:tcPr>
            <w:tcW w:type="dxa" w:w="70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Validasyon ve MOC tamamlanmadan reçete, teknik resim/BOM, WPS, hammadde/malzeme veya proses değişikliğini reddetme</w:t>
            </w:r>
          </w:p>
        </w:tc>
      </w:tr>
      <w:tr>
        <w:trPr>
          <w:cantSplit w:val="1"/>
        </w:trPr>
        <w:tc>
          <w:tcPr>
            <w:tcW w:type="dxa" w:w="2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Her çalışan</w:t>
            </w:r>
          </w:p>
        </w:tc>
        <w:tc>
          <w:tcPr>
            <w:tcW w:type="dxa" w:w="70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Yakın tehlike, veri bütünlüğü veya ciddi ürün riski gördüğünde misilleme korkusu olmadan işi durdurma ve escalation</w:t>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FDECEC"/>
            <w:tcBorders>
              <w:top w:val="single" w:sz="5" w:space="0" w:color="E5B4B4"/>
              <w:left w:val="single" w:sz="5" w:space="0" w:color="E5B4B4"/>
              <w:bottom w:val="single" w:sz="5" w:space="0" w:color="E5B4B4"/>
              <w:right w:val="single" w:sz="5" w:space="0" w:color="E5B4B4"/>
              <w:insideH w:val="single" w:sz="5" w:space="0" w:color="E5B4B4"/>
              <w:insideV w:val="single" w:sz="5" w:space="0" w:color="E5B4B4"/>
            </w:tcBorders>
            <w:vAlign w:val="center"/>
            <w:tcMar>
              <w:top w:w="125" w:type="dxa"/>
              <w:bottom w:w="125" w:type="dxa"/>
              <w:start w:w="180" w:type="dxa"/>
              <w:end w:w="180" w:type="dxa"/>
            </w:tcMar>
          </w:tcPr>
          <w:p>
            <w:pPr>
              <w:spacing w:after="40" w:line="264" w:lineRule="auto"/>
            </w:pPr>
            <w:r>
              <w:rPr>
                <w:rFonts w:ascii="Arial" w:hAnsi="Arial" w:eastAsia="Arial"/>
                <w:b/>
                <w:color w:val="9B1C1C"/>
                <w:sz w:val="21"/>
              </w:rPr>
              <w:t>Bağımsızlık kırmızı çizgisi</w:t>
            </w:r>
          </w:p>
          <w:p>
            <w:pPr>
              <w:spacing w:after="0" w:line="269" w:lineRule="auto"/>
            </w:pPr>
            <w:r>
              <w:rPr>
                <w:rFonts w:ascii="Arial" w:hAnsi="Arial" w:eastAsia="Arial"/>
                <w:color w:val="142536"/>
                <w:sz w:val="21"/>
              </w:rPr>
              <w:t>Kalite serbest bırakma kararı üretim, satış veya sevkiyat hedefiyle geçersiz kılınamaz. Risk kabulü; uygun olmayan ürünü uygun hâle getirmez ve yasal/teknik şarttan sapma yetkisi vermez.</w:t>
            </w:r>
          </w:p>
        </w:tc>
      </w:tr>
    </w:tbl>
    <w:p>
      <w:pPr>
        <w:spacing w:after="20"/>
        <w:widowControl w:val="1"/>
      </w:pPr>
    </w:p>
    <w:p>
      <w:pPr>
        <w:pStyle w:val="Heading1"/>
        <w:keepNext/>
        <w:pageBreakBefore/>
        <w:widowControl w:val="1"/>
      </w:pPr>
      <w:r>
        <w:rPr>
          <w:rFonts w:ascii="Arial" w:hAnsi="Arial" w:eastAsia="Arial"/>
          <w:b/>
          <w:color w:val="197B96"/>
          <w:sz w:val="34"/>
        </w:rPr>
        <w:t>9. Entegre yönetim sistemi ve dokümante bilgi mimarisi</w:t>
      </w:r>
    </w:p>
    <w:p>
      <w:pPr>
        <w:spacing w:after="120"/>
        <w:widowControl w:val="1"/>
      </w:pPr>
      <w:r>
        <w:rPr>
          <w:rFonts w:ascii="Arial" w:hAnsi="Arial" w:eastAsia="Arial"/>
          <w:color w:val="142536"/>
          <w:sz w:val="21"/>
        </w:rPr>
        <w:t>SARL MAPA ALGÉRIE IMS; kalite, çevre, iş sağlığı-güvenliği, ölçüm, laboratuvar yetkinliği ve audit disiplinini tek süreç mimarisinde birleştirir. Ortak konular tek prosedürle; disipline özgü teknik şartlar ilgili kontrol planı veya talimatla yönetilir.</w:t>
      </w:r>
    </w:p>
    <w:p>
      <w:pPr>
        <w:pStyle w:val="Heading2"/>
        <w:keepNext/>
        <w:widowControl w:val="1"/>
      </w:pPr>
      <w:r>
        <w:rPr>
          <w:rFonts w:ascii="Arial" w:hAnsi="Arial" w:eastAsia="Arial"/>
          <w:b/>
          <w:color w:val="183A59"/>
          <w:sz w:val="25"/>
        </w:rPr>
        <w:t>9.1 Standart temeli</w:t>
      </w:r>
    </w:p>
    <w:tbl>
      <w:tblPr>
        <w:tblStyle w:val="TableGrid"/>
        <w:tblW w:type="dxa" w:w="9630"/>
        <w:jc w:val="left"/>
        <w:tblLayout w:type="fixed"/>
        <w:tblLook w:firstColumn="1" w:firstRow="1" w:lastColumn="0" w:lastRow="0" w:noHBand="0" w:noVBand="1" w:val="04A0"/>
        <w:tblInd w:type="dxa" w:w="120"/>
      </w:tblPr>
      <w:tblGrid>
        <w:gridCol w:w="2350"/>
        <w:gridCol w:w="4100"/>
        <w:gridCol w:w="3180"/>
      </w:tblGrid>
      <w:tr>
        <w:trPr>
          <w:tblHeader w:val="true"/>
          <w:cantSplit w:val="1"/>
        </w:trPr>
        <w:tc>
          <w:tcPr>
            <w:tcW w:type="dxa" w:w="23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Referans</w:t>
            </w:r>
          </w:p>
        </w:tc>
        <w:tc>
          <w:tcPr>
            <w:tcW w:type="dxa" w:w="41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SARL MAPA ALGÉRIE uygulama amacı</w:t>
            </w:r>
          </w:p>
        </w:tc>
        <w:tc>
          <w:tcPr>
            <w:tcW w:type="dxa" w:w="318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2026 statüsü / yaklaşım</w:t>
            </w:r>
          </w:p>
        </w:tc>
      </w:tr>
      <w:tr>
        <w:trPr>
          <w:cantSplit w:val="1"/>
        </w:trPr>
        <w:tc>
          <w:tcPr>
            <w:tcW w:type="dxa" w:w="23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ISO 9001:2015/Amd 1:2024</w:t>
            </w:r>
          </w:p>
        </w:tc>
        <w:tc>
          <w:tcPr>
            <w:tcW w:type="dxa" w:w="4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Kalite yönetim sistemi ve belgelendirme temeli</w:t>
            </w:r>
          </w:p>
        </w:tc>
        <w:tc>
          <w:tcPr>
            <w:tcW w:type="dxa" w:w="31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Mevcut yayın esas alınır; ISO 9001:2026 yayımlandığında kontrollü geçiş planı açılır.</w:t>
            </w:r>
          </w:p>
        </w:tc>
      </w:tr>
      <w:tr>
        <w:trPr>
          <w:cantSplit w:val="1"/>
        </w:trPr>
        <w:tc>
          <w:tcPr>
            <w:tcW w:type="dxa" w:w="23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ISO 14001:2026</w:t>
            </w:r>
          </w:p>
        </w:tc>
        <w:tc>
          <w:tcPr>
            <w:tcW w:type="dxa" w:w="4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Çevre boyutları, uygunluk yükümlülükleri, yaşam döngüsü ve performans</w:t>
            </w:r>
          </w:p>
        </w:tc>
        <w:tc>
          <w:tcPr>
            <w:tcW w:type="dxa" w:w="31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2026 yayımlanmış baskı EMS tasarım temelidir.</w:t>
            </w:r>
          </w:p>
        </w:tc>
      </w:tr>
      <w:tr>
        <w:trPr>
          <w:cantSplit w:val="1"/>
        </w:trPr>
        <w:tc>
          <w:tcPr>
            <w:tcW w:type="dxa" w:w="23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ISO 45001:2018/Amd 1:2024</w:t>
            </w:r>
          </w:p>
        </w:tc>
        <w:tc>
          <w:tcPr>
            <w:tcW w:type="dxa" w:w="4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İSG riskleri, çalışan katılımı ve operasyonel kontrol</w:t>
            </w:r>
          </w:p>
        </w:tc>
        <w:tc>
          <w:tcPr>
            <w:tcW w:type="dxa" w:w="31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Yürürlükteki baskı ve iklim değişikliği amendment’i esas alınır.</w:t>
            </w:r>
          </w:p>
        </w:tc>
      </w:tr>
      <w:tr>
        <w:trPr>
          <w:cantSplit w:val="1"/>
        </w:trPr>
        <w:tc>
          <w:tcPr>
            <w:tcW w:type="dxa" w:w="23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ISO 10012:2026</w:t>
            </w:r>
          </w:p>
        </w:tc>
        <w:tc>
          <w:tcPr>
            <w:tcW w:type="dxa" w:w="4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Ölçüm yönetim sistemi ve ölçüm proseslerinin yeterliliği</w:t>
            </w:r>
          </w:p>
        </w:tc>
        <w:tc>
          <w:tcPr>
            <w:tcW w:type="dxa" w:w="31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Kritik ölçüm, metrological confirmation ve ölçüm riski için uygulanır.</w:t>
            </w:r>
          </w:p>
        </w:tc>
      </w:tr>
      <w:tr>
        <w:trPr>
          <w:cantSplit w:val="1"/>
        </w:trPr>
        <w:tc>
          <w:tcPr>
            <w:tcW w:type="dxa" w:w="23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ISO/IEC 17025:2017</w:t>
            </w:r>
          </w:p>
        </w:tc>
        <w:tc>
          <w:tcPr>
            <w:tcW w:type="dxa" w:w="4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Laboratuvar yetkinliği, tarafsızlık ve sonuç geçerliliği</w:t>
            </w:r>
          </w:p>
        </w:tc>
        <w:tc>
          <w:tcPr>
            <w:tcW w:type="dxa" w:w="31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Akreditasyon kapsamı aşamalı kurulurken uygulanabilir şartlar sisteme entegre edilir.</w:t>
            </w:r>
          </w:p>
        </w:tc>
      </w:tr>
      <w:tr>
        <w:trPr>
          <w:cantSplit w:val="1"/>
        </w:trPr>
        <w:tc>
          <w:tcPr>
            <w:tcW w:type="dxa" w:w="23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ISO 19011:2026</w:t>
            </w:r>
          </w:p>
        </w:tc>
        <w:tc>
          <w:tcPr>
            <w:tcW w:type="dxa" w:w="4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Risk temelli yönetim sistemi audit programı</w:t>
            </w:r>
          </w:p>
        </w:tc>
        <w:tc>
          <w:tcPr>
            <w:tcW w:type="dxa" w:w="31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İç ve tedarikçi audit metodolojisine rehberlik eder.</w:t>
            </w:r>
          </w:p>
        </w:tc>
      </w:tr>
    </w:tbl>
    <w:p>
      <w:pPr>
        <w:spacing w:after="40"/>
        <w:widowControl w:val="1"/>
      </w:pPr>
    </w:p>
    <w:p>
      <w:pPr>
        <w:pStyle w:val="Heading2"/>
        <w:keepNext/>
        <w:widowControl w:val="1"/>
      </w:pPr>
      <w:r>
        <w:rPr>
          <w:rFonts w:ascii="Arial" w:hAnsi="Arial" w:eastAsia="Arial"/>
          <w:b/>
          <w:color w:val="183A59"/>
          <w:sz w:val="25"/>
        </w:rPr>
        <w:t>9.2 Beş seviyeli kontrollü bilgi mimarisi</w:t>
      </w:r>
    </w:p>
    <w:tbl>
      <w:tblPr>
        <w:tblStyle w:val="TableGrid"/>
        <w:tblW w:type="dxa" w:w="9630"/>
        <w:jc w:val="left"/>
        <w:tblLayout w:type="fixed"/>
        <w:tblLook w:firstColumn="1" w:firstRow="1" w:lastColumn="0" w:lastRow="0" w:noHBand="0" w:noVBand="1" w:val="04A0"/>
        <w:tblInd w:type="dxa" w:w="120"/>
      </w:tblPr>
      <w:tblGrid>
        <w:gridCol w:w="900"/>
        <w:gridCol w:w="3000"/>
        <w:gridCol w:w="5730"/>
      </w:tblGrid>
      <w:tr>
        <w:trPr>
          <w:tblHeader w:val="true"/>
          <w:cantSplit w:val="1"/>
        </w:trPr>
        <w:tc>
          <w:tcPr>
            <w:tcW w:type="dxa" w:w="9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Seviye</w:t>
            </w:r>
          </w:p>
        </w:tc>
        <w:tc>
          <w:tcPr>
            <w:tcW w:type="dxa" w:w="30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Doküman türü</w:t>
            </w:r>
          </w:p>
        </w:tc>
        <w:tc>
          <w:tcPr>
            <w:tcW w:type="dxa" w:w="57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Amaç / örnek</w:t>
            </w:r>
          </w:p>
        </w:tc>
      </w:tr>
      <w:tr>
        <w:trPr>
          <w:cantSplit w:val="1"/>
        </w:trPr>
        <w:tc>
          <w:tcPr>
            <w:tcW w:type="dxa" w:w="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L1</w:t>
            </w:r>
          </w:p>
        </w:tc>
        <w:tc>
          <w:tcPr>
            <w:tcW w:type="dxa" w:w="30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Politika, CDD ve IMS Manual</w:t>
            </w:r>
          </w:p>
        </w:tc>
        <w:tc>
          <w:tcPr>
            <w:tcW w:type="dxa" w:w="5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Kurumsal yön, kapsam, süreç modeli, yetki ve temel taahhütler</w:t>
            </w:r>
          </w:p>
        </w:tc>
      </w:tr>
      <w:tr>
        <w:trPr>
          <w:cantSplit w:val="1"/>
        </w:trPr>
        <w:tc>
          <w:tcPr>
            <w:tcW w:type="dxa" w:w="9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L2</w:t>
            </w:r>
          </w:p>
        </w:tc>
        <w:tc>
          <w:tcPr>
            <w:tcW w:type="dxa" w:w="30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Prosedür</w:t>
            </w:r>
          </w:p>
        </w:tc>
        <w:tc>
          <w:tcPr>
            <w:tcW w:type="dxa" w:w="5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Doküman kontrol, risk, NCR/CAPA, MOC, audit, tedarikçi, ürün serbest bırakma</w:t>
            </w:r>
          </w:p>
        </w:tc>
      </w:tr>
      <w:tr>
        <w:trPr>
          <w:cantSplit w:val="1"/>
        </w:trPr>
        <w:tc>
          <w:tcPr>
            <w:tcW w:type="dxa" w:w="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L3</w:t>
            </w:r>
          </w:p>
        </w:tc>
        <w:tc>
          <w:tcPr>
            <w:tcW w:type="dxa" w:w="30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SOP / iş talimatı / kontrol planı</w:t>
            </w:r>
          </w:p>
        </w:tc>
        <w:tc>
          <w:tcPr>
            <w:tcW w:type="dxa" w:w="5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Üretim, temizlik, test, bakım, acil durum ve saha uygulaması</w:t>
            </w:r>
          </w:p>
        </w:tc>
      </w:tr>
      <w:tr>
        <w:trPr>
          <w:cantSplit w:val="1"/>
        </w:trPr>
        <w:tc>
          <w:tcPr>
            <w:tcW w:type="dxa" w:w="9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L4</w:t>
            </w:r>
          </w:p>
        </w:tc>
        <w:tc>
          <w:tcPr>
            <w:tcW w:type="dxa" w:w="30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Form / kayıt / log</w:t>
            </w:r>
          </w:p>
        </w:tc>
        <w:tc>
          <w:tcPr>
            <w:tcW w:type="dxa" w:w="5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Batch record, ham veri, CoA, iş emri, eğitim, audit ve toplantı kaydı</w:t>
            </w:r>
          </w:p>
        </w:tc>
      </w:tr>
      <w:tr>
        <w:trPr>
          <w:cantSplit w:val="1"/>
        </w:trPr>
        <w:tc>
          <w:tcPr>
            <w:tcW w:type="dxa" w:w="9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L5</w:t>
            </w:r>
          </w:p>
        </w:tc>
        <w:tc>
          <w:tcPr>
            <w:tcW w:type="dxa" w:w="30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Master data</w:t>
            </w:r>
          </w:p>
        </w:tc>
        <w:tc>
          <w:tcPr>
            <w:tcW w:type="dxa" w:w="5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Onaylı reçete, spesifikasyon, ekipman, tedarikçi, yetki ve kod listeleri</w:t>
            </w:r>
          </w:p>
        </w:tc>
      </w:tr>
    </w:tbl>
    <w:p>
      <w:pPr>
        <w:spacing w:after="40"/>
        <w:widowControl w:val="1"/>
      </w:pPr>
    </w:p>
    <w:p>
      <w:pPr>
        <w:spacing w:after="120"/>
        <w:widowControl w:val="1"/>
      </w:pPr>
      <w:r>
        <w:rPr>
          <w:rFonts w:ascii="Arial" w:hAnsi="Arial" w:eastAsia="Arial"/>
          <w:b/>
          <w:color w:val="142536"/>
          <w:sz w:val="21"/>
        </w:rPr>
        <w:t>Kodlama standardı:</w:t>
      </w:r>
      <w:r>
        <w:rPr>
          <w:rFonts w:ascii="Arial" w:hAnsi="Arial" w:eastAsia="Arial"/>
          <w:color w:val="142536"/>
          <w:sz w:val="21"/>
        </w:rPr>
        <w:t xml:space="preserve"> [Fonksiyon]-[Doküman Tipi]-[Sıra]-[Revizyon]. Kurucu kurumsal tasarım ailesinde onaylı özel kod MAPA-CDD-001’dir. Her dokümanda kod, başlık, revizyon, yürürlük tarihi, hazırlayan/kontrol/onay, sayfa ve kontrollü kopya statüsü bulunur.</w:t>
      </w:r>
    </w:p>
    <w:p>
      <w:pPr>
        <w:pStyle w:val="Heading2"/>
        <w:keepNext/>
        <w:widowControl w:val="1"/>
      </w:pPr>
      <w:r>
        <w:rPr>
          <w:rFonts w:ascii="Arial" w:hAnsi="Arial" w:eastAsia="Arial"/>
          <w:b/>
          <w:color w:val="183A59"/>
          <w:sz w:val="25"/>
        </w:rPr>
        <w:t>9.3 Kayıt bütünlüğü</w:t>
      </w:r>
    </w:p>
    <w:p>
      <w:pPr>
        <w:spacing w:after="80" w:line="280" w:lineRule="auto"/>
        <w:ind w:left="720" w:hanging="360"/>
        <w:numPr>
          <w:ilvl w:val="0"/>
          <w:numId w:val="10"/>
        </w:numPr>
        <w:widowControl w:val="1"/>
      </w:pPr>
      <w:r>
        <w:rPr>
          <w:rFonts w:ascii="Arial" w:hAnsi="Arial" w:eastAsia="Arial"/>
          <w:color w:val="142536"/>
          <w:sz w:val="21"/>
        </w:rPr>
        <w:t>Kayıtlar Attributable, Legible, Contemporaneous, Original, Accurate; ayrıca Complete, Consistent, Enduring ve Available olmalıdır (ALCOA+).</w:t>
      </w:r>
    </w:p>
    <w:p>
      <w:pPr>
        <w:spacing w:after="80" w:line="280" w:lineRule="auto"/>
        <w:ind w:left="720" w:hanging="360"/>
        <w:numPr>
          <w:ilvl w:val="0"/>
          <w:numId w:val="10"/>
        </w:numPr>
        <w:widowControl w:val="1"/>
      </w:pPr>
      <w:r>
        <w:rPr>
          <w:rFonts w:ascii="Arial" w:hAnsi="Arial" w:eastAsia="Arial"/>
          <w:color w:val="142536"/>
          <w:sz w:val="21"/>
        </w:rPr>
        <w:t>Boş alanlar N/A ve gerekçeyle kapatılır; düzeltme veri silmeden, iz bırakacak şekilde yapılır.</w:t>
      </w:r>
    </w:p>
    <w:p>
      <w:pPr>
        <w:spacing w:after="80" w:line="280" w:lineRule="auto"/>
        <w:ind w:left="720" w:hanging="360"/>
        <w:numPr>
          <w:ilvl w:val="0"/>
          <w:numId w:val="10"/>
        </w:numPr>
        <w:widowControl w:val="1"/>
      </w:pPr>
      <w:r>
        <w:rPr>
          <w:rFonts w:ascii="Arial" w:hAnsi="Arial" w:eastAsia="Arial"/>
          <w:color w:val="142536"/>
          <w:sz w:val="21"/>
        </w:rPr>
        <w:t>Elektronik kayıtlarda rol bazlı erişim, zaman senkronizasyonu, audit trail, yedekleme, restore testi ve değişmezlik kontrolü uygulanır.</w:t>
      </w:r>
    </w:p>
    <w:p>
      <w:pPr>
        <w:spacing w:after="80" w:line="280" w:lineRule="auto"/>
        <w:ind w:left="720" w:hanging="360"/>
        <w:numPr>
          <w:ilvl w:val="0"/>
          <w:numId w:val="10"/>
        </w:numPr>
        <w:widowControl w:val="1"/>
      </w:pPr>
      <w:r>
        <w:rPr>
          <w:rFonts w:ascii="Arial" w:hAnsi="Arial" w:eastAsia="Arial"/>
          <w:color w:val="142536"/>
          <w:sz w:val="21"/>
        </w:rPr>
        <w:t>Master data değişiklikleri sahip, bağımsız kontrol, yürürlük tarihi ve etkilenen kayıt/ürün analizi olmadan yayımlanmaz.</w:t>
      </w:r>
    </w:p>
    <w:p>
      <w:pPr>
        <w:pStyle w:val="Heading1"/>
        <w:keepNext/>
        <w:pageBreakBefore/>
        <w:widowControl w:val="1"/>
      </w:pPr>
      <w:r>
        <w:rPr>
          <w:rFonts w:ascii="Arial" w:hAnsi="Arial" w:eastAsia="Arial"/>
          <w:b/>
          <w:color w:val="197B96"/>
          <w:sz w:val="34"/>
        </w:rPr>
        <w:t>10. Kaliteyi tasarımda üretme ve kontrol kapıları</w:t>
      </w:r>
    </w:p>
    <w:p>
      <w:pPr>
        <w:spacing w:after="120"/>
        <w:widowControl w:val="1"/>
      </w:pPr>
      <w:r>
        <w:rPr>
          <w:rFonts w:ascii="Arial" w:hAnsi="Arial" w:eastAsia="Arial"/>
          <w:color w:val="142536"/>
          <w:sz w:val="21"/>
        </w:rPr>
        <w:t>SARL MAPA ALGÉRIE’de kalite; spesifikasyon, reçete, hammadde, ekipman, insan, ölçüm ve kayıt tasarımının ortak sonucudur. Kontrol kapısı; yalnız kontrol listesi değil, sürecin ilerleyebilmesi için gerekli kanıt ve yetkili karardır.</w:t>
      </w:r>
    </w:p>
    <w:tbl>
      <w:tblPr>
        <w:tblStyle w:val="TableGrid"/>
        <w:tblW w:type="dxa" w:w="9630"/>
        <w:jc w:val="left"/>
        <w:tblLayout w:type="fixed"/>
        <w:tblLook w:firstColumn="1" w:firstRow="1" w:lastColumn="0" w:lastRow="0" w:noHBand="0" w:noVBand="1" w:val="04A0"/>
        <w:tblInd w:type="dxa" w:w="120"/>
      </w:tblPr>
      <w:tblGrid>
        <w:gridCol w:w="1650"/>
        <w:gridCol w:w="2500"/>
        <w:gridCol w:w="3650"/>
        <w:gridCol w:w="1830"/>
      </w:tblGrid>
      <w:tr>
        <w:trPr>
          <w:tblHeader w:val="true"/>
          <w:cantSplit w:val="1"/>
        </w:trPr>
        <w:tc>
          <w:tcPr>
            <w:tcW w:type="dxa" w:w="16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Kapı</w:t>
            </w:r>
          </w:p>
        </w:tc>
        <w:tc>
          <w:tcPr>
            <w:tcW w:type="dxa" w:w="25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Karar sorusu</w:t>
            </w:r>
          </w:p>
        </w:tc>
        <w:tc>
          <w:tcPr>
            <w:tcW w:type="dxa" w:w="36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Zorunlu kanıt</w:t>
            </w:r>
          </w:p>
        </w:tc>
        <w:tc>
          <w:tcPr>
            <w:tcW w:type="dxa" w:w="18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Karar sahibi</w:t>
            </w:r>
          </w:p>
        </w:tc>
      </w:tr>
      <w:tr>
        <w:trPr>
          <w:cantSplit w:val="1"/>
        </w:trPr>
        <w:tc>
          <w:tcPr>
            <w:tcW w:type="dxa" w:w="1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G0 — Talep</w:t>
            </w:r>
          </w:p>
        </w:tc>
        <w:tc>
          <w:tcPr>
            <w:tcW w:type="dxa" w:w="25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Gereksinim üretilebilir ve doğrulanabilir mi?</w:t>
            </w:r>
          </w:p>
        </w:tc>
        <w:tc>
          <w:tcPr>
            <w:tcW w:type="dxa" w:w="3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Ürün/teknik şart, tasarım yükü-boyutu, mevzuat, müşteri, ambalaj/işaretleme ve kullanım koşulu</w:t>
            </w:r>
          </w:p>
        </w:tc>
        <w:tc>
          <w:tcPr>
            <w:tcW w:type="dxa" w:w="1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Teknik + Kalite + Ticari</w:t>
            </w:r>
          </w:p>
        </w:tc>
      </w:tr>
      <w:tr>
        <w:trPr>
          <w:cantSplit w:val="1"/>
        </w:trPr>
        <w:tc>
          <w:tcPr>
            <w:tcW w:type="dxa" w:w="1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G1 — Tedarikçi</w:t>
            </w:r>
          </w:p>
        </w:tc>
        <w:tc>
          <w:tcPr>
            <w:tcW w:type="dxa" w:w="25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Kaynak ve kapsam onaylı mı?</w:t>
            </w:r>
          </w:p>
        </w:tc>
        <w:tc>
          <w:tcPr>
            <w:tcW w:type="dxa" w:w="3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ASL, risk, CoA/MTC, numune-test/muayene, audit ve değişiklik taahhüdü</w:t>
            </w:r>
          </w:p>
        </w:tc>
        <w:tc>
          <w:tcPr>
            <w:tcW w:type="dxa" w:w="1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Kalite + Satınalma</w:t>
            </w:r>
          </w:p>
        </w:tc>
      </w:tr>
      <w:tr>
        <w:trPr>
          <w:cantSplit w:val="1"/>
        </w:trPr>
        <w:tc>
          <w:tcPr>
            <w:tcW w:type="dxa" w:w="1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G2 — Giriş kalite</w:t>
            </w:r>
          </w:p>
        </w:tc>
        <w:tc>
          <w:tcPr>
            <w:tcW w:type="dxa" w:w="25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Lot üretimde kullanılabilir mi?</w:t>
            </w:r>
          </w:p>
        </w:tc>
        <w:tc>
          <w:tcPr>
            <w:tcW w:type="dxa" w:w="3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PO, lot/heat, kimlik, ambalaj, CoA/MTC, numune-test/muayene ve statü</w:t>
            </w:r>
          </w:p>
        </w:tc>
        <w:tc>
          <w:tcPr>
            <w:tcW w:type="dxa" w:w="1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Yetkili QC/QA</w:t>
            </w:r>
          </w:p>
        </w:tc>
      </w:tr>
      <w:tr>
        <w:trPr>
          <w:cantSplit w:val="1"/>
        </w:trPr>
        <w:tc>
          <w:tcPr>
            <w:tcW w:type="dxa" w:w="1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G3 — Üretim hazırlığı</w:t>
            </w:r>
          </w:p>
        </w:tc>
        <w:tc>
          <w:tcPr>
            <w:tcW w:type="dxa" w:w="25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Doğru reçete veya teknik resim/BOM/WPS, ekipman ve malzeme hazır mı?</w:t>
            </w:r>
          </w:p>
        </w:tc>
        <w:tc>
          <w:tcPr>
            <w:tcW w:type="dxa" w:w="3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Üretim/iş emri, master revizyon, teknik resim-BOM-WPS, line clearance, kalibrasyon ve yetkinlik</w:t>
            </w:r>
          </w:p>
        </w:tc>
        <w:tc>
          <w:tcPr>
            <w:tcW w:type="dxa" w:w="1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Üretim + QA</w:t>
            </w:r>
          </w:p>
        </w:tc>
      </w:tr>
      <w:tr>
        <w:trPr>
          <w:cantSplit w:val="1"/>
        </w:trPr>
        <w:tc>
          <w:tcPr>
            <w:tcW w:type="dxa" w:w="1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G4 — Üretim prosesi</w:t>
            </w:r>
          </w:p>
        </w:tc>
        <w:tc>
          <w:tcPr>
            <w:tcW w:type="dxa" w:w="25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Proses tanımlı limitlerde mi?</w:t>
            </w:r>
          </w:p>
        </w:tc>
        <w:tc>
          <w:tcPr>
            <w:tcW w:type="dxa" w:w="3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Dozaj/zaman/sıcaklık/pH-yoğunluk veya kesme-bükme-kaynak-montaj-kaplama; kütle/boyut ve sapma</w:t>
            </w:r>
          </w:p>
        </w:tc>
        <w:tc>
          <w:tcPr>
            <w:tcW w:type="dxa" w:w="1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Üretim / proses sahibi</w:t>
            </w:r>
          </w:p>
        </w:tc>
      </w:tr>
      <w:tr>
        <w:trPr>
          <w:cantSplit w:val="1"/>
        </w:trPr>
        <w:tc>
          <w:tcPr>
            <w:tcW w:type="dxa" w:w="1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G5 — QC serbest bırakma</w:t>
            </w:r>
          </w:p>
        </w:tc>
        <w:tc>
          <w:tcPr>
            <w:tcW w:type="dxa" w:w="25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Batch veya iş emri spesifikasyonu ve kayıt bütünlüğü uygun mu?</w:t>
            </w:r>
          </w:p>
        </w:tc>
        <w:tc>
          <w:tcPr>
            <w:tcW w:type="dxa" w:w="36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Numune/inspection zinciri, ham veri, MTC, boyut-kaynak/NDT-kaplama, karar kuralı, CoA/uygunluk dosyası</w:t>
            </w:r>
          </w:p>
        </w:tc>
        <w:tc>
          <w:tcPr>
            <w:tcW w:type="dxa" w:w="1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Yetkili QC/QA</w:t>
            </w:r>
          </w:p>
        </w:tc>
      </w:tr>
      <w:tr>
        <w:trPr>
          <w:cantSplit w:val="1"/>
        </w:trPr>
        <w:tc>
          <w:tcPr>
            <w:tcW w:type="dxa" w:w="1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G6 — Tamamlama / sevkiyat</w:t>
            </w:r>
          </w:p>
        </w:tc>
        <w:tc>
          <w:tcPr>
            <w:tcW w:type="dxa" w:w="25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Doğru ürün doğru müşteri ve araçla mı?</w:t>
            </w:r>
          </w:p>
        </w:tc>
        <w:tc>
          <w:tcPr>
            <w:tcW w:type="dxa" w:w="36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Ambalaj/işaretleme, lot/seri, miktar, sipariş, CoA/SDS veya uygunluk dosyası ve araç kontrolü</w:t>
            </w:r>
          </w:p>
        </w:tc>
        <w:tc>
          <w:tcPr>
            <w:tcW w:type="dxa" w:w="1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Depo + QA</w:t>
            </w:r>
          </w:p>
        </w:tc>
      </w:tr>
    </w:tbl>
    <w:p>
      <w:pPr>
        <w:spacing w:after="40"/>
        <w:widowControl w:val="1"/>
      </w:pPr>
    </w:p>
    <w:p>
      <w:pPr>
        <w:pStyle w:val="Heading2"/>
        <w:keepNext/>
        <w:widowControl w:val="1"/>
      </w:pPr>
      <w:r>
        <w:rPr>
          <w:rFonts w:ascii="Arial" w:hAnsi="Arial" w:eastAsia="Arial"/>
          <w:b/>
          <w:color w:val="183A59"/>
          <w:sz w:val="25"/>
        </w:rPr>
        <w:t>10.1 Ürün ve proses değişikliği</w:t>
      </w:r>
    </w:p>
    <w:p>
      <w:pPr>
        <w:spacing w:after="120"/>
        <w:widowControl w:val="1"/>
      </w:pPr>
      <w:r>
        <w:rPr>
          <w:rFonts w:ascii="Arial" w:hAnsi="Arial" w:eastAsia="Arial"/>
          <w:color w:val="142536"/>
          <w:sz w:val="21"/>
        </w:rPr>
        <w:t>Yeni ürün, yeni hammadde, tedarikçi değişimi, reçete revizyonu, ekipman/ölçek değişimi, test metodu, ambalaj, yazılım/PLC veya kritik proses limiti; tanımlı MOC ve validasyon kanıtı olmadan devreye alınamaz.</w:t>
      </w:r>
    </w:p>
    <w:p>
      <w:pPr>
        <w:pStyle w:val="Heading2"/>
        <w:keepNext/>
        <w:widowControl w:val="1"/>
      </w:pPr>
      <w:r>
        <w:rPr>
          <w:rFonts w:ascii="Arial" w:hAnsi="Arial" w:eastAsia="Arial"/>
          <w:b/>
          <w:color w:val="183A59"/>
          <w:sz w:val="25"/>
        </w:rPr>
        <w:t>10.2 Serbest bırakma ilkesi</w:t>
      </w: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8F5F7"/>
            <w:tcBorders>
              <w:top w:val="single" w:sz="5" w:space="0" w:color="C7D7E2"/>
              <w:left w:val="single" w:sz="5" w:space="0" w:color="C7D7E2"/>
              <w:bottom w:val="single" w:sz="5" w:space="0" w:color="C7D7E2"/>
              <w:right w:val="single" w:sz="5" w:space="0" w:color="C7D7E2"/>
              <w:insideH w:val="single" w:sz="5" w:space="0" w:color="C7D7E2"/>
              <w:insideV w:val="single" w:sz="5" w:space="0" w:color="C7D7E2"/>
            </w:tcBorders>
            <w:vAlign w:val="center"/>
            <w:tcMar>
              <w:top w:w="125" w:type="dxa"/>
              <w:bottom w:w="125" w:type="dxa"/>
              <w:start w:w="180" w:type="dxa"/>
              <w:end w:w="180" w:type="dxa"/>
            </w:tcMar>
          </w:tcPr>
          <w:p>
            <w:pPr>
              <w:spacing w:after="40" w:line="264" w:lineRule="auto"/>
            </w:pPr>
            <w:r>
              <w:rPr>
                <w:rFonts w:ascii="Arial" w:hAnsi="Arial" w:eastAsia="Arial"/>
                <w:b/>
                <w:color w:val="197B96"/>
                <w:sz w:val="21"/>
              </w:rPr>
              <w:t>Release rule</w:t>
            </w:r>
          </w:p>
          <w:p>
            <w:pPr>
              <w:spacing w:after="0" w:line="269" w:lineRule="auto"/>
            </w:pPr>
            <w:r>
              <w:rPr>
                <w:rFonts w:ascii="Arial" w:hAnsi="Arial" w:eastAsia="Arial"/>
                <w:color w:val="142536"/>
                <w:sz w:val="21"/>
              </w:rPr>
              <w:t>Tam batch/iş emri dosyası + geçerli test/muayene + onaylı spesifikasyon/teknik resim + uygun ambalaj/işaretleme + açık kritik sapma bulunmaması birlikte sağlanmadan ürün RELEASED statüsüne geçmez. Acil sevkiyat bu koşullardan biri değildir.</w:t>
            </w:r>
          </w:p>
        </w:tc>
      </w:tr>
    </w:tbl>
    <w:p>
      <w:pPr>
        <w:spacing w:after="20"/>
        <w:widowControl w:val="1"/>
      </w:pPr>
    </w:p>
    <w:p>
      <w:pPr>
        <w:pStyle w:val="Heading1"/>
        <w:keepNext/>
        <w:pageBreakBefore/>
        <w:widowControl w:val="1"/>
      </w:pPr>
      <w:r>
        <w:rPr>
          <w:rFonts w:ascii="Arial" w:hAnsi="Arial" w:eastAsia="Arial"/>
          <w:b/>
          <w:color w:val="197B96"/>
          <w:sz w:val="34"/>
        </w:rPr>
        <w:t>11. Risk, fırsat, değişiklik ve escalation</w:t>
      </w:r>
    </w:p>
    <w:p>
      <w:pPr>
        <w:pStyle w:val="Heading2"/>
        <w:keepNext/>
        <w:widowControl w:val="1"/>
      </w:pPr>
      <w:r>
        <w:rPr>
          <w:rFonts w:ascii="Arial" w:hAnsi="Arial" w:eastAsia="Arial"/>
          <w:b/>
          <w:color w:val="183A59"/>
          <w:sz w:val="25"/>
        </w:rPr>
        <w:t>11.1 Risk yaklaşımı</w:t>
      </w:r>
    </w:p>
    <w:p>
      <w:pPr>
        <w:spacing w:after="80" w:line="280" w:lineRule="auto"/>
        <w:ind w:left="720" w:hanging="360"/>
        <w:numPr>
          <w:ilvl w:val="0"/>
          <w:numId w:val="10"/>
        </w:numPr>
        <w:widowControl w:val="1"/>
      </w:pPr>
      <w:r>
        <w:rPr>
          <w:rFonts w:ascii="Arial" w:hAnsi="Arial" w:eastAsia="Arial"/>
          <w:color w:val="142536"/>
          <w:sz w:val="21"/>
        </w:rPr>
        <w:t>Risk; ürün, insan, çevre, teslimat, maliyet, yasal uygunluk, veri bütünlüğü ve itibar etkileri birlikte değerlendirilerek ele alınır.</w:t>
      </w:r>
    </w:p>
    <w:p>
      <w:pPr>
        <w:spacing w:after="80" w:line="280" w:lineRule="auto"/>
        <w:ind w:left="720" w:hanging="360"/>
        <w:numPr>
          <w:ilvl w:val="0"/>
          <w:numId w:val="10"/>
        </w:numPr>
        <w:widowControl w:val="1"/>
      </w:pPr>
      <w:r>
        <w:rPr>
          <w:rFonts w:ascii="Arial" w:hAnsi="Arial" w:eastAsia="Arial"/>
          <w:color w:val="142536"/>
          <w:sz w:val="21"/>
        </w:rPr>
        <w:t>İlk risk mevcut/planlanan kontrollerin etkisi düşülmeden; artık risk yalnız uygulanmış ve etkili olduğu kanıtlanmış kontrollerden sonra hesaplanır.</w:t>
      </w:r>
    </w:p>
    <w:p>
      <w:pPr>
        <w:spacing w:after="80" w:line="280" w:lineRule="auto"/>
        <w:ind w:left="720" w:hanging="360"/>
        <w:numPr>
          <w:ilvl w:val="0"/>
          <w:numId w:val="10"/>
        </w:numPr>
        <w:widowControl w:val="1"/>
      </w:pPr>
      <w:r>
        <w:rPr>
          <w:rFonts w:ascii="Arial" w:hAnsi="Arial" w:eastAsia="Arial"/>
          <w:color w:val="142536"/>
          <w:sz w:val="21"/>
        </w:rPr>
        <w:t>Şiddet, kontrol eklenmesiyle otomatik düşürülmez; kontrol çoğunlukla oluşma olasılığını veya tespit zorluğunu azaltır.</w:t>
      </w:r>
    </w:p>
    <w:p>
      <w:pPr>
        <w:spacing w:after="80" w:line="280" w:lineRule="auto"/>
        <w:ind w:left="720" w:hanging="360"/>
        <w:numPr>
          <w:ilvl w:val="0"/>
          <w:numId w:val="10"/>
        </w:numPr>
        <w:widowControl w:val="1"/>
      </w:pPr>
      <w:r>
        <w:rPr>
          <w:rFonts w:ascii="Arial" w:hAnsi="Arial" w:eastAsia="Arial"/>
          <w:color w:val="142536"/>
          <w:sz w:val="21"/>
        </w:rPr>
        <w:t>Risk kabulü yetki matrisine bağlıdır; yasal, insan güvenliği veya doğrulanmamış ciddi ürün riski yönetim kararıyla dahi normalleştirilemez.</w:t>
      </w:r>
    </w:p>
    <w:p>
      <w:pPr>
        <w:spacing w:after="80" w:line="280" w:lineRule="auto"/>
        <w:ind w:left="720" w:hanging="360"/>
        <w:numPr>
          <w:ilvl w:val="0"/>
          <w:numId w:val="10"/>
        </w:numPr>
        <w:widowControl w:val="1"/>
      </w:pPr>
      <w:r>
        <w:rPr>
          <w:rFonts w:ascii="Arial" w:hAnsi="Arial" w:eastAsia="Arial"/>
          <w:color w:val="142536"/>
          <w:sz w:val="21"/>
        </w:rPr>
        <w:t>Fırsatlar da sahip, kaynak, başarı kriteri, süre ve review ile yönetilir; fayda gerçekleşmeden kapanmış sayılmaz.</w:t>
      </w:r>
    </w:p>
    <w:p>
      <w:pPr>
        <w:pStyle w:val="Heading2"/>
        <w:keepNext/>
        <w:widowControl w:val="1"/>
      </w:pPr>
      <w:r>
        <w:rPr>
          <w:rFonts w:ascii="Arial" w:hAnsi="Arial" w:eastAsia="Arial"/>
          <w:b/>
          <w:color w:val="183A59"/>
          <w:sz w:val="25"/>
        </w:rPr>
        <w:t>11.2 MOC tetikleyicileri</w:t>
      </w:r>
    </w:p>
    <w:tbl>
      <w:tblPr>
        <w:tblStyle w:val="TableGrid"/>
        <w:tblW w:type="dxa" w:w="9630"/>
        <w:jc w:val="left"/>
        <w:tblLayout w:type="fixed"/>
        <w:tblLook w:firstColumn="1" w:firstRow="1" w:lastColumn="0" w:lastRow="0" w:noHBand="0" w:noVBand="1" w:val="04A0"/>
        <w:tblInd w:type="dxa" w:w="120"/>
      </w:tblPr>
      <w:tblGrid>
        <w:gridCol w:w="2050"/>
        <w:gridCol w:w="3460"/>
        <w:gridCol w:w="4120"/>
      </w:tblGrid>
      <w:tr>
        <w:trPr>
          <w:tblHeader w:val="true"/>
          <w:cantSplit w:val="1"/>
        </w:trPr>
        <w:tc>
          <w:tcPr>
            <w:tcW w:type="dxa" w:w="20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Değişiklik alanı</w:t>
            </w:r>
          </w:p>
        </w:tc>
        <w:tc>
          <w:tcPr>
            <w:tcW w:type="dxa" w:w="346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Örnek tetikleyici</w:t>
            </w:r>
          </w:p>
        </w:tc>
        <w:tc>
          <w:tcPr>
            <w:tcW w:type="dxa" w:w="412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Asgari değerlendirme</w:t>
            </w:r>
          </w:p>
        </w:tc>
      </w:tr>
      <w:tr>
        <w:trPr>
          <w:cantSplit w:val="1"/>
        </w:trPr>
        <w:tc>
          <w:tcPr>
            <w:tcW w:type="dxa" w:w="20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Ürün / teknik</w:t>
            </w:r>
          </w:p>
        </w:tc>
        <w:tc>
          <w:tcPr>
            <w:tcW w:type="dxa" w:w="34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Reçete, tasarım/teknik resim, BOM/WPS, iddia, spesifikasyon, hammadde/malzeme veya tedarikçi</w:t>
            </w:r>
          </w:p>
        </w:tc>
        <w:tc>
          <w:tcPr>
            <w:tcW w:type="dxa" w:w="412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Lab/pilot veya prototip/imalat validasyonu, tasarım doğrulama, uyumluluk ve müşteri etkisi</w:t>
            </w:r>
          </w:p>
        </w:tc>
      </w:tr>
      <w:tr>
        <w:trPr>
          <w:cantSplit w:val="1"/>
        </w:trPr>
        <w:tc>
          <w:tcPr>
            <w:tcW w:type="dxa" w:w="20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Proses / ekipman</w:t>
            </w:r>
          </w:p>
        </w:tc>
        <w:tc>
          <w:tcPr>
            <w:tcW w:type="dxa" w:w="346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Tank, pompa, dozaj veya kesme-bükme-kaynak-montaj-kaplama ekipmanı; kapasite, utility ve otomasyon</w:t>
            </w:r>
          </w:p>
        </w:tc>
        <w:tc>
          <w:tcPr>
            <w:tcW w:type="dxa" w:w="412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Proses riski, kalibrasyon, temizlik, kapasite ve HSE</w:t>
            </w:r>
          </w:p>
        </w:tc>
      </w:tr>
      <w:tr>
        <w:trPr>
          <w:cantSplit w:val="1"/>
        </w:trPr>
        <w:tc>
          <w:tcPr>
            <w:tcW w:type="dxa" w:w="20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Metot / ölçüm</w:t>
            </w:r>
          </w:p>
        </w:tc>
        <w:tc>
          <w:tcPr>
            <w:tcW w:type="dxa" w:w="34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Test/muayene/NDT metodu, cihaz, yazılım veya karar kuralı</w:t>
            </w:r>
          </w:p>
        </w:tc>
        <w:tc>
          <w:tcPr>
            <w:tcW w:type="dxa" w:w="412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Metot karşılaştırma/validasyon, belirsizlik ve geçmiş sonuç etkisi</w:t>
            </w:r>
          </w:p>
        </w:tc>
      </w:tr>
      <w:tr>
        <w:trPr>
          <w:cantSplit w:val="1"/>
        </w:trPr>
        <w:tc>
          <w:tcPr>
            <w:tcW w:type="dxa" w:w="20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Organizasyon</w:t>
            </w:r>
          </w:p>
        </w:tc>
        <w:tc>
          <w:tcPr>
            <w:tcW w:type="dxa" w:w="346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Rol, yetki, vardiya, dış kaynak veya kritik yetkinlik</w:t>
            </w:r>
          </w:p>
        </w:tc>
        <w:tc>
          <w:tcPr>
            <w:tcW w:type="dxa" w:w="412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Görev ayrılığı, vekâlet, eğitim ve iş sürekliliği</w:t>
            </w:r>
          </w:p>
        </w:tc>
      </w:tr>
      <w:tr>
        <w:trPr>
          <w:cantSplit w:val="1"/>
        </w:trPr>
        <w:tc>
          <w:tcPr>
            <w:tcW w:type="dxa" w:w="20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Dijital / veri</w:t>
            </w:r>
          </w:p>
        </w:tc>
        <w:tc>
          <w:tcPr>
            <w:tcW w:type="dxa" w:w="346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ERP/LIMS/PLC, master data, entegrasyon, yedekleme</w:t>
            </w:r>
          </w:p>
        </w:tc>
        <w:tc>
          <w:tcPr>
            <w:tcW w:type="dxa" w:w="412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Yetki, audit trail, migration, doğrulama ve restore testi</w:t>
            </w:r>
          </w:p>
        </w:tc>
      </w:tr>
      <w:tr>
        <w:trPr>
          <w:cantSplit w:val="1"/>
        </w:trPr>
        <w:tc>
          <w:tcPr>
            <w:tcW w:type="dxa" w:w="20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Yasal / pazar</w:t>
            </w:r>
          </w:p>
        </w:tc>
        <w:tc>
          <w:tcPr>
            <w:tcW w:type="dxa" w:w="346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Mevzuat, standard, ülke, müşteri şartı veya ambalaj</w:t>
            </w:r>
          </w:p>
        </w:tc>
        <w:tc>
          <w:tcPr>
            <w:tcW w:type="dxa" w:w="412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Uygunluk, etiket/SDS, teknik dosya ve iletişim</w:t>
            </w:r>
          </w:p>
        </w:tc>
      </w:tr>
    </w:tbl>
    <w:p>
      <w:pPr>
        <w:spacing w:after="40"/>
        <w:widowControl w:val="1"/>
      </w:pPr>
    </w:p>
    <w:p>
      <w:pPr>
        <w:pStyle w:val="Heading2"/>
        <w:keepNext/>
        <w:widowControl w:val="1"/>
      </w:pPr>
      <w:r>
        <w:rPr>
          <w:rFonts w:ascii="Arial" w:hAnsi="Arial" w:eastAsia="Arial"/>
          <w:b/>
          <w:color w:val="183A59"/>
          <w:sz w:val="25"/>
        </w:rPr>
        <w:t>11.3 Escalation kriterleri</w:t>
      </w:r>
    </w:p>
    <w:p>
      <w:pPr>
        <w:spacing w:after="80" w:line="280" w:lineRule="auto"/>
        <w:ind w:left="720" w:hanging="360"/>
        <w:numPr>
          <w:ilvl w:val="0"/>
          <w:numId w:val="10"/>
        </w:numPr>
        <w:widowControl w:val="1"/>
      </w:pPr>
      <w:r>
        <w:rPr>
          <w:rFonts w:ascii="Arial" w:hAnsi="Arial" w:eastAsia="Arial"/>
          <w:color w:val="142536"/>
          <w:sz w:val="21"/>
        </w:rPr>
        <w:t>İnsan güvenliği, büyük çevresel olay, yasal ihlal veya ciddi ürün güvenliği ihtimali.</w:t>
      </w:r>
    </w:p>
    <w:p>
      <w:pPr>
        <w:spacing w:after="80" w:line="280" w:lineRule="auto"/>
        <w:ind w:left="720" w:hanging="360"/>
        <w:numPr>
          <w:ilvl w:val="0"/>
          <w:numId w:val="10"/>
        </w:numPr>
        <w:widowControl w:val="1"/>
      </w:pPr>
      <w:r>
        <w:rPr>
          <w:rFonts w:ascii="Arial" w:hAnsi="Arial" w:eastAsia="Arial"/>
          <w:color w:val="142536"/>
          <w:sz w:val="21"/>
        </w:rPr>
        <w:t>Serbest bırakılmış ürünün uygunsuz olabileceğine dair yeni kanıt.</w:t>
      </w:r>
    </w:p>
    <w:p>
      <w:pPr>
        <w:spacing w:after="80" w:line="280" w:lineRule="auto"/>
        <w:ind w:left="720" w:hanging="360"/>
        <w:numPr>
          <w:ilvl w:val="0"/>
          <w:numId w:val="10"/>
        </w:numPr>
        <w:widowControl w:val="1"/>
      </w:pPr>
      <w:r>
        <w:rPr>
          <w:rFonts w:ascii="Arial" w:hAnsi="Arial" w:eastAsia="Arial"/>
          <w:color w:val="142536"/>
          <w:sz w:val="21"/>
        </w:rPr>
        <w:t>Kayıp/şüpheli ham veri, sistem–fiziksel statü uyuşmazlığı veya kayıt manipülasyonu şüphesi.</w:t>
      </w:r>
    </w:p>
    <w:p>
      <w:pPr>
        <w:spacing w:after="80" w:line="280" w:lineRule="auto"/>
        <w:ind w:left="720" w:hanging="360"/>
        <w:numPr>
          <w:ilvl w:val="0"/>
          <w:numId w:val="10"/>
        </w:numPr>
        <w:widowControl w:val="1"/>
      </w:pPr>
      <w:r>
        <w:rPr>
          <w:rFonts w:ascii="Arial" w:hAnsi="Arial" w:eastAsia="Arial"/>
          <w:color w:val="142536"/>
          <w:sz w:val="21"/>
        </w:rPr>
        <w:t>Tekrarlayan NCR, etkisiz CAPA, kontrol dışı proses veya müşteri sahasında yaygın performans riski.</w:t>
      </w:r>
    </w:p>
    <w:p>
      <w:pPr>
        <w:spacing w:after="80" w:line="280" w:lineRule="auto"/>
        <w:ind w:left="720" w:hanging="360"/>
        <w:numPr>
          <w:ilvl w:val="0"/>
          <w:numId w:val="10"/>
        </w:numPr>
        <w:widowControl w:val="1"/>
      </w:pPr>
      <w:r>
        <w:rPr>
          <w:rFonts w:ascii="Arial" w:hAnsi="Arial" w:eastAsia="Arial"/>
          <w:color w:val="142536"/>
          <w:sz w:val="21"/>
        </w:rPr>
        <w:t>Kritik tedarik, utility, ekipman veya IT/OT kesintisinin iş sürekliliğini aşması.</w:t>
      </w:r>
    </w:p>
    <w:p>
      <w:pPr>
        <w:pStyle w:val="Heading1"/>
        <w:keepNext/>
        <w:pageBreakBefore w:val="0"/>
        <w:widowControl w:val="1"/>
      </w:pPr>
      <w:r>
        <w:rPr>
          <w:rFonts w:ascii="Arial" w:hAnsi="Arial" w:eastAsia="Arial"/>
          <w:b/>
          <w:color w:val="197B96"/>
          <w:sz w:val="34"/>
        </w:rPr>
        <w:t>12. İnsan, yetkinlik ve hesap verebilirlik</w:t>
      </w:r>
    </w:p>
    <w:p>
      <w:pPr>
        <w:spacing w:after="120"/>
        <w:widowControl w:val="1"/>
      </w:pPr>
      <w:r>
        <w:rPr>
          <w:rFonts w:ascii="Arial" w:hAnsi="Arial" w:eastAsia="Arial"/>
          <w:color w:val="142536"/>
          <w:sz w:val="21"/>
        </w:rPr>
        <w:t>SARL MAPA ALGÉRIE’de görev unvanı tek başına yetki değildir. Kritik işi yapma ve karar verme yetkisi; eğitim, gözlem, sınav/uygulama, yetkilendirme ve periyodik yeniden değerlendirme kanıtına bağlanır.</w:t>
      </w:r>
    </w:p>
    <w:tbl>
      <w:tblPr>
        <w:tblStyle w:val="TableGrid"/>
        <w:tblW w:type="dxa" w:w="9630"/>
        <w:jc w:val="left"/>
        <w:tblLayout w:type="fixed"/>
        <w:tblLook w:firstColumn="1" w:firstRow="1" w:lastColumn="0" w:lastRow="0" w:noHBand="0" w:noVBand="1" w:val="04A0"/>
        <w:tblInd w:type="dxa" w:w="120"/>
      </w:tblPr>
      <w:tblGrid>
        <w:gridCol w:w="2050"/>
        <w:gridCol w:w="4490"/>
        <w:gridCol w:w="3090"/>
      </w:tblGrid>
      <w:tr>
        <w:trPr>
          <w:tblHeader w:val="true"/>
          <w:cantSplit w:val="1"/>
        </w:trPr>
        <w:tc>
          <w:tcPr>
            <w:tcW w:type="dxa" w:w="20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Yetkinlik adımı</w:t>
            </w:r>
          </w:p>
        </w:tc>
        <w:tc>
          <w:tcPr>
            <w:tcW w:type="dxa" w:w="449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Zorunlu çıktı</w:t>
            </w:r>
          </w:p>
        </w:tc>
        <w:tc>
          <w:tcPr>
            <w:tcW w:type="dxa" w:w="309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Kapanış kanıtı</w:t>
            </w:r>
          </w:p>
        </w:tc>
      </w:tr>
      <w:tr>
        <w:trPr>
          <w:cantSplit w:val="1"/>
        </w:trPr>
        <w:tc>
          <w:tcPr>
            <w:tcW w:type="dxa" w:w="20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Rol gereksinimi</w:t>
            </w:r>
          </w:p>
        </w:tc>
        <w:tc>
          <w:tcPr>
            <w:tcW w:type="dxa" w:w="449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Bilgi, beceri, deney, sağlık/güvenlik ve bağımsızlık kriteri</w:t>
            </w:r>
          </w:p>
        </w:tc>
        <w:tc>
          <w:tcPr>
            <w:tcW w:type="dxa" w:w="309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Görev tanımı + yetkinlik matrisi</w:t>
            </w:r>
          </w:p>
        </w:tc>
      </w:tr>
      <w:tr>
        <w:trPr>
          <w:cantSplit w:val="1"/>
        </w:trPr>
        <w:tc>
          <w:tcPr>
            <w:tcW w:type="dxa" w:w="20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Eğitim / öğrenme</w:t>
            </w:r>
          </w:p>
        </w:tc>
        <w:tc>
          <w:tcPr>
            <w:tcW w:type="dxa" w:w="449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Standart, proses, risk, kayıt ve uygulama bilgisi</w:t>
            </w:r>
          </w:p>
        </w:tc>
        <w:tc>
          <w:tcPr>
            <w:tcW w:type="dxa" w:w="309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Eğitim içeriği + katılım</w:t>
            </w:r>
          </w:p>
        </w:tc>
      </w:tr>
      <w:tr>
        <w:trPr>
          <w:cantSplit w:val="1"/>
        </w:trPr>
        <w:tc>
          <w:tcPr>
            <w:tcW w:type="dxa" w:w="20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Değerlendirme</w:t>
            </w:r>
          </w:p>
        </w:tc>
        <w:tc>
          <w:tcPr>
            <w:tcW w:type="dxa" w:w="449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Teorik ve/veya pratik yeterlilik</w:t>
            </w:r>
          </w:p>
        </w:tc>
        <w:tc>
          <w:tcPr>
            <w:tcW w:type="dxa" w:w="309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Sınav, gözlem, kör numune veya performans</w:t>
            </w:r>
          </w:p>
        </w:tc>
      </w:tr>
      <w:tr>
        <w:trPr>
          <w:cantSplit w:val="1"/>
        </w:trPr>
        <w:tc>
          <w:tcPr>
            <w:tcW w:type="dxa" w:w="20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Yetkilendirme</w:t>
            </w:r>
          </w:p>
        </w:tc>
        <w:tc>
          <w:tcPr>
            <w:tcW w:type="dxa" w:w="449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İşlem, cihaz, metot ve karar kapsamı</w:t>
            </w:r>
          </w:p>
        </w:tc>
        <w:tc>
          <w:tcPr>
            <w:tcW w:type="dxa" w:w="309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İmzalı yetki kaydı ve geçerlilik</w:t>
            </w:r>
          </w:p>
        </w:tc>
      </w:tr>
      <w:tr>
        <w:trPr>
          <w:cantSplit w:val="1"/>
        </w:trPr>
        <w:tc>
          <w:tcPr>
            <w:tcW w:type="dxa" w:w="20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Sürdürme</w:t>
            </w:r>
          </w:p>
        </w:tc>
        <w:tc>
          <w:tcPr>
            <w:tcW w:type="dxa" w:w="449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Performans, olay, değişiklik ve periyodik review</w:t>
            </w:r>
          </w:p>
        </w:tc>
        <w:tc>
          <w:tcPr>
            <w:tcW w:type="dxa" w:w="309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Trend, gözlem ve yeniden yetkilendirme</w:t>
            </w:r>
          </w:p>
        </w:tc>
      </w:tr>
    </w:tbl>
    <w:p>
      <w:pPr>
        <w:spacing w:after="40"/>
        <w:widowControl w:val="1"/>
      </w:pPr>
    </w:p>
    <w:p>
      <w:pPr>
        <w:pStyle w:val="Heading2"/>
        <w:keepNext/>
        <w:widowControl w:val="1"/>
      </w:pPr>
      <w:r>
        <w:rPr>
          <w:rFonts w:ascii="Arial" w:hAnsi="Arial" w:eastAsia="Arial"/>
          <w:b/>
          <w:color w:val="183A59"/>
          <w:sz w:val="25"/>
        </w:rPr>
        <w:t>12.1 Adil öğrenme ve disiplin sınırı</w:t>
      </w:r>
    </w:p>
    <w:p>
      <w:pPr>
        <w:spacing w:after="120"/>
        <w:widowControl w:val="1"/>
      </w:pPr>
      <w:r>
        <w:rPr>
          <w:rFonts w:ascii="Arial" w:hAnsi="Arial" w:eastAsia="Arial"/>
          <w:color w:val="142536"/>
          <w:sz w:val="21"/>
        </w:rPr>
        <w:t>İyi niyetli hata, sistem ve kontrol tasarımını geliştirme fırsatı olarak incelenir. Buna karşılık bilinçli bypass, veri tahrifi, tehlikeyi gizleme, yetkisiz değişiklik ve tekrar eden kasıtlı ihlal performans/disiplin sürecine taşınır. Bu ayrım şeffaf kriterle yapılır; hata bildiren çalışana misilleme yapılmaz.</w:t>
      </w:r>
    </w:p>
    <w:p>
      <w:pPr>
        <w:pStyle w:val="Heading2"/>
        <w:keepNext/>
        <w:widowControl w:val="1"/>
      </w:pPr>
      <w:r>
        <w:rPr>
          <w:rFonts w:ascii="Arial" w:hAnsi="Arial" w:eastAsia="Arial"/>
          <w:b/>
          <w:color w:val="183A59"/>
          <w:sz w:val="25"/>
        </w:rPr>
        <w:t>12.2 Vekâlet ve süreklilik</w:t>
      </w:r>
    </w:p>
    <w:p>
      <w:pPr>
        <w:spacing w:after="80" w:line="280" w:lineRule="auto"/>
        <w:ind w:left="720" w:hanging="360"/>
        <w:numPr>
          <w:ilvl w:val="0"/>
          <w:numId w:val="10"/>
        </w:numPr>
        <w:widowControl w:val="1"/>
      </w:pPr>
      <w:r>
        <w:rPr>
          <w:rFonts w:ascii="Arial" w:hAnsi="Arial" w:eastAsia="Arial"/>
          <w:color w:val="142536"/>
          <w:sz w:val="21"/>
        </w:rPr>
        <w:t>Kritik serbest bırakma, laboratuvar, üretim, bakım, HSE ve master data görevleri için yetkin vekil tanımlanır.</w:t>
      </w:r>
    </w:p>
    <w:p>
      <w:pPr>
        <w:spacing w:after="80" w:line="280" w:lineRule="auto"/>
        <w:ind w:left="720" w:hanging="360"/>
        <w:numPr>
          <w:ilvl w:val="0"/>
          <w:numId w:val="10"/>
        </w:numPr>
        <w:widowControl w:val="1"/>
      </w:pPr>
      <w:r>
        <w:rPr>
          <w:rFonts w:ascii="Arial" w:hAnsi="Arial" w:eastAsia="Arial"/>
          <w:color w:val="142536"/>
          <w:sz w:val="21"/>
        </w:rPr>
        <w:t>Vekil, asıl rolün tüm yetkilerini otomatik devralmaz; yazılı kapsam ve süre ile yetkilendirilir.</w:t>
      </w:r>
    </w:p>
    <w:p>
      <w:pPr>
        <w:spacing w:after="80" w:line="280" w:lineRule="auto"/>
        <w:ind w:left="720" w:hanging="360"/>
        <w:numPr>
          <w:ilvl w:val="0"/>
          <w:numId w:val="10"/>
        </w:numPr>
        <w:widowControl w:val="1"/>
      </w:pPr>
      <w:r>
        <w:rPr>
          <w:rFonts w:ascii="Arial" w:hAnsi="Arial" w:eastAsia="Arial"/>
          <w:color w:val="142536"/>
          <w:sz w:val="21"/>
        </w:rPr>
        <w:t>Tek kişiye bağımlı know-how, kontrollü talimat, eğitim, çapraz yetkinlik ve bilgi aktarımıyla azaltılır.</w:t>
      </w:r>
    </w:p>
    <w:p>
      <w:pPr>
        <w:pStyle w:val="Heading1"/>
        <w:keepNext/>
        <w:pageBreakBefore w:val="0"/>
        <w:widowControl w:val="1"/>
      </w:pPr>
      <w:r>
        <w:rPr>
          <w:rFonts w:ascii="Arial" w:hAnsi="Arial" w:eastAsia="Arial"/>
          <w:b/>
          <w:color w:val="197B96"/>
          <w:sz w:val="34"/>
        </w:rPr>
        <w:t>13. Dijital sistem, veri ve kurumsal bilgi felsefesi</w:t>
      </w:r>
    </w:p>
    <w:p>
      <w:pPr>
        <w:pStyle w:val="Heading2"/>
        <w:keepNext/>
        <w:widowControl w:val="1"/>
      </w:pPr>
      <w:r>
        <w:rPr>
          <w:rFonts w:ascii="Arial" w:hAnsi="Arial" w:eastAsia="Arial"/>
          <w:b/>
          <w:color w:val="183A59"/>
          <w:sz w:val="25"/>
        </w:rPr>
        <w:t>13.1 Dijital tasarım ilkeleri</w:t>
      </w:r>
    </w:p>
    <w:tbl>
      <w:tblPr>
        <w:tblStyle w:val="TableGrid"/>
        <w:tblW w:type="dxa" w:w="9630"/>
        <w:jc w:val="left"/>
        <w:tblLayout w:type="fixed"/>
        <w:tblLook w:firstColumn="1" w:firstRow="1" w:lastColumn="0" w:lastRow="0" w:noHBand="0" w:noVBand="1" w:val="04A0"/>
        <w:tblInd w:type="dxa" w:w="120"/>
      </w:tblPr>
      <w:tblGrid>
        <w:gridCol w:w="2400"/>
        <w:gridCol w:w="7230"/>
      </w:tblGrid>
      <w:tr>
        <w:trPr>
          <w:tblHeader w:val="true"/>
          <w:cantSplit w:val="1"/>
        </w:trPr>
        <w:tc>
          <w:tcPr>
            <w:tcW w:type="dxa" w:w="24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İlke</w:t>
            </w:r>
          </w:p>
        </w:tc>
        <w:tc>
          <w:tcPr>
            <w:tcW w:type="dxa" w:w="72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Uygulama</w:t>
            </w:r>
          </w:p>
        </w:tc>
      </w:tr>
      <w:tr>
        <w:trPr>
          <w:cantSplit w:val="1"/>
        </w:trPr>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Tek doğru kaynak</w:t>
            </w:r>
          </w:p>
        </w:tc>
        <w:tc>
          <w:tcPr>
            <w:tcW w:type="dxa" w:w="72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Her master veri ve kritik kayıt için resmî sistem/konum belirlenir; paralel ve çelişkili tablolar kontrol edilir.</w:t>
            </w:r>
          </w:p>
        </w:tc>
      </w:tr>
      <w:tr>
        <w:trPr>
          <w:cantSplit w:val="1"/>
        </w:trPr>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Kimlik ve izlenebilirlik</w:t>
            </w:r>
          </w:p>
        </w:tc>
        <w:tc>
          <w:tcPr>
            <w:tcW w:type="dxa" w:w="72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Batch, lot, ekipman, kişi, numune, sonuç, ambalaj ve sevkiyat benzersiz ID ile bağlanır.</w:t>
            </w:r>
          </w:p>
        </w:tc>
      </w:tr>
      <w:tr>
        <w:trPr>
          <w:cantSplit w:val="1"/>
        </w:trPr>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Yetki ayrılığı</w:t>
            </w:r>
          </w:p>
        </w:tc>
        <w:tc>
          <w:tcPr>
            <w:tcW w:type="dxa" w:w="72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Oluşturma, kontrol, onay ve serbest bırakma yetkileri riskle orantılı ayrılır.</w:t>
            </w:r>
          </w:p>
        </w:tc>
      </w:tr>
      <w:tr>
        <w:trPr>
          <w:cantSplit w:val="1"/>
        </w:trPr>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Audit trail</w:t>
            </w:r>
          </w:p>
        </w:tc>
        <w:tc>
          <w:tcPr>
            <w:tcW w:type="dxa" w:w="72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Kritik değişikliklerde eski/yeni değer, kişi, zaman, gerekçe ve onay korunur.</w:t>
            </w:r>
          </w:p>
        </w:tc>
      </w:tr>
      <w:tr>
        <w:trPr>
          <w:cantSplit w:val="1"/>
        </w:trPr>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Yedek ve restore</w:t>
            </w:r>
          </w:p>
        </w:tc>
        <w:tc>
          <w:tcPr>
            <w:tcW w:type="dxa" w:w="72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Yedek almak yeterli değildir; bağımsız kopya, checksum ve planlı restore/işlev testi yapılır.</w:t>
            </w:r>
          </w:p>
        </w:tc>
      </w:tr>
      <w:tr>
        <w:trPr>
          <w:cantSplit w:val="1"/>
        </w:trPr>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Veri kalitesi</w:t>
            </w:r>
          </w:p>
        </w:tc>
        <w:tc>
          <w:tcPr>
            <w:tcW w:type="dxa" w:w="72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Zaman, birim, limit, kayıp veri, interface ve hesaplama kontrolleri tanımlanır.</w:t>
            </w:r>
          </w:p>
        </w:tc>
      </w:tr>
      <w:tr>
        <w:trPr>
          <w:cantSplit w:val="1"/>
        </w:trPr>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Bilgi yönetimi</w:t>
            </w:r>
          </w:p>
        </w:tc>
        <w:tc>
          <w:tcPr>
            <w:tcW w:type="dxa" w:w="72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Reçete ve proses know-how’ı erişim kontrollü, versiyonlu ve iş sürekliliğine uygun saklanır.</w:t>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AF2F6"/>
            <w:tcBorders>
              <w:top w:val="single" w:sz="5" w:space="0" w:color="C7D7E2"/>
              <w:left w:val="single" w:sz="5" w:space="0" w:color="C7D7E2"/>
              <w:bottom w:val="single" w:sz="5" w:space="0" w:color="C7D7E2"/>
              <w:right w:val="single" w:sz="5" w:space="0" w:color="C7D7E2"/>
              <w:insideH w:val="single" w:sz="5" w:space="0" w:color="C7D7E2"/>
              <w:insideV w:val="single" w:sz="5" w:space="0" w:color="C7D7E2"/>
            </w:tcBorders>
            <w:vAlign w:val="center"/>
            <w:tcMar>
              <w:top w:w="125" w:type="dxa"/>
              <w:bottom w:w="125" w:type="dxa"/>
              <w:start w:w="180" w:type="dxa"/>
              <w:end w:w="180" w:type="dxa"/>
            </w:tcMar>
          </w:tcPr>
          <w:p>
            <w:pPr>
              <w:spacing w:after="40" w:line="264" w:lineRule="auto"/>
            </w:pPr>
            <w:r>
              <w:rPr>
                <w:rFonts w:ascii="Arial" w:hAnsi="Arial" w:eastAsia="Arial"/>
                <w:b/>
                <w:color w:val="183A59"/>
                <w:sz w:val="21"/>
              </w:rPr>
              <w:t>Dijitalleşme kuralı</w:t>
            </w:r>
          </w:p>
          <w:p>
            <w:pPr>
              <w:spacing w:after="0" w:line="269" w:lineRule="auto"/>
            </w:pPr>
            <w:r>
              <w:rPr>
                <w:rFonts w:ascii="Arial" w:hAnsi="Arial" w:eastAsia="Arial"/>
                <w:color w:val="142536"/>
                <w:sz w:val="21"/>
              </w:rPr>
              <w:t>Kontrolsüz veya gereksiz bir proses yalnız yazılımla hızlandırılmaz. Önce süreç, karar, veri sahibi ve kontrol mantığı tasarlanır; ardından dijital uygulama validasyonla devreye alınır.</w:t>
            </w:r>
          </w:p>
        </w:tc>
      </w:tr>
    </w:tbl>
    <w:p>
      <w:pPr>
        <w:spacing w:after="20"/>
        <w:widowControl w:val="1"/>
      </w:pPr>
    </w:p>
    <w:p>
      <w:pPr>
        <w:pStyle w:val="Heading2"/>
        <w:keepNext/>
        <w:widowControl w:val="1"/>
      </w:pPr>
      <w:r>
        <w:rPr>
          <w:rFonts w:ascii="Arial" w:hAnsi="Arial" w:eastAsia="Arial"/>
          <w:b/>
          <w:color w:val="183A59"/>
          <w:sz w:val="25"/>
        </w:rPr>
        <w:t>13.2 Knowledge Library hedefi</w:t>
      </w:r>
    </w:p>
    <w:p>
      <w:pPr>
        <w:spacing w:after="120"/>
        <w:widowControl w:val="1"/>
      </w:pPr>
      <w:r>
        <w:rPr>
          <w:rFonts w:ascii="Arial" w:hAnsi="Arial" w:eastAsia="Arial"/>
          <w:color w:val="142536"/>
          <w:sz w:val="21"/>
        </w:rPr>
        <w:t>ISO Certification Package tamamlandıktan sonra aynı kontrollü dokümanlar SARL MAPA ALGÉRIE Digital Knowledge Library’ye dönüştürülür. Kütüphane; doküman arşivi değil, rol bazlı öğrenme, arama, karar desteği, süreç kanıtı ve kurumsal hafızanın tek kontrollü erişim katmanı olacaktır.</w:t>
      </w:r>
    </w:p>
    <w:p>
      <w:pPr>
        <w:pStyle w:val="Heading1"/>
        <w:keepNext/>
        <w:pageBreakBefore w:val="0"/>
        <w:widowControl w:val="1"/>
      </w:pPr>
      <w:r>
        <w:rPr>
          <w:rFonts w:ascii="Arial" w:hAnsi="Arial" w:eastAsia="Arial"/>
          <w:b/>
          <w:color w:val="197B96"/>
          <w:sz w:val="34"/>
        </w:rPr>
        <w:t>14. Performans sistemi ve yönetim ritmi</w:t>
      </w:r>
    </w:p>
    <w:p>
      <w:pPr>
        <w:spacing w:after="120"/>
        <w:widowControl w:val="1"/>
      </w:pPr>
      <w:r>
        <w:rPr>
          <w:rFonts w:ascii="Arial" w:hAnsi="Arial" w:eastAsia="Arial"/>
          <w:color w:val="142536"/>
          <w:sz w:val="21"/>
        </w:rPr>
        <w:t>Performans; yalnız aylık toplamlarla değil, sapmayı erken gösteren öncü göstergeler ve sonuç göstergeleriyle yönetilir. Her KPI’ın tanımı, formülü, veri kaynağı, sahibi, kesim zamanı, hedefi ve escalation eşiği yayımlanır.</w:t>
      </w:r>
    </w:p>
    <w:p>
      <w:pPr>
        <w:pStyle w:val="Heading2"/>
        <w:keepNext/>
        <w:widowControl w:val="1"/>
      </w:pPr>
      <w:r>
        <w:rPr>
          <w:rFonts w:ascii="Arial" w:hAnsi="Arial" w:eastAsia="Arial"/>
          <w:b/>
          <w:color w:val="183A59"/>
          <w:sz w:val="25"/>
        </w:rPr>
        <w:t>14.1 SQDCP+E performans ağacı</w:t>
      </w:r>
    </w:p>
    <w:tbl>
      <w:tblPr>
        <w:tblStyle w:val="TableGrid"/>
        <w:tblW w:type="dxa" w:w="9630"/>
        <w:jc w:val="left"/>
        <w:tblLayout w:type="fixed"/>
        <w:tblLook w:firstColumn="1" w:firstRow="1" w:lastColumn="0" w:lastRow="0" w:noHBand="0" w:noVBand="1" w:val="04A0"/>
        <w:tblInd w:type="dxa" w:w="120"/>
      </w:tblPr>
      <w:tblGrid>
        <w:gridCol w:w="1600"/>
        <w:gridCol w:w="3620"/>
        <w:gridCol w:w="4410"/>
      </w:tblGrid>
      <w:tr>
        <w:trPr>
          <w:tblHeader w:val="true"/>
          <w:cantSplit w:val="1"/>
        </w:trPr>
        <w:tc>
          <w:tcPr>
            <w:tcW w:type="dxa" w:w="16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Boyut</w:t>
            </w:r>
          </w:p>
        </w:tc>
        <w:tc>
          <w:tcPr>
            <w:tcW w:type="dxa" w:w="362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Yönetim sorusu</w:t>
            </w:r>
          </w:p>
        </w:tc>
        <w:tc>
          <w:tcPr>
            <w:tcW w:type="dxa" w:w="441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Örnek gösterge</w:t>
            </w:r>
          </w:p>
        </w:tc>
      </w:tr>
      <w:tr>
        <w:trPr>
          <w:cantSplit w:val="1"/>
        </w:trPr>
        <w:tc>
          <w:tcPr>
            <w:tcW w:type="dxa" w:w="1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S — Safety</w:t>
            </w:r>
          </w:p>
        </w:tc>
        <w:tc>
          <w:tcPr>
            <w:tcW w:type="dxa" w:w="362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İş güvenli ve kontrol altında mı?</w:t>
            </w:r>
          </w:p>
        </w:tc>
        <w:tc>
          <w:tcPr>
            <w:tcW w:type="dxa" w:w="441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Olay, near miss, kritik aksiyon, LOTO/PPE uygunluğu</w:t>
            </w:r>
          </w:p>
        </w:tc>
      </w:tr>
      <w:tr>
        <w:trPr>
          <w:cantSplit w:val="1"/>
        </w:trPr>
        <w:tc>
          <w:tcPr>
            <w:tcW w:type="dxa" w:w="16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Q — Quality</w:t>
            </w:r>
          </w:p>
        </w:tc>
        <w:tc>
          <w:tcPr>
            <w:tcW w:type="dxa" w:w="362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İlk seferde uygun ve kanıtlı ürün üretiyor muyuz?</w:t>
            </w:r>
          </w:p>
        </w:tc>
        <w:tc>
          <w:tcPr>
            <w:tcW w:type="dxa" w:w="441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FPY, OOS/NCR, rework, şikâyet, release çevrim süresi</w:t>
            </w:r>
          </w:p>
        </w:tc>
      </w:tr>
      <w:tr>
        <w:trPr>
          <w:cantSplit w:val="1"/>
        </w:trPr>
        <w:tc>
          <w:tcPr>
            <w:tcW w:type="dxa" w:w="1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D — Delivery</w:t>
            </w:r>
          </w:p>
        </w:tc>
        <w:tc>
          <w:tcPr>
            <w:tcW w:type="dxa" w:w="362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Müşteriye ve iç plana zamanında cevap veriyor muyuz?</w:t>
            </w:r>
          </w:p>
        </w:tc>
        <w:tc>
          <w:tcPr>
            <w:tcW w:type="dxa" w:w="441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OTD, plan gerçekleşmesi, bekleyen HOLD/IQC, stokout</w:t>
            </w:r>
          </w:p>
        </w:tc>
      </w:tr>
      <w:tr>
        <w:trPr>
          <w:cantSplit w:val="1"/>
        </w:trPr>
        <w:tc>
          <w:tcPr>
            <w:tcW w:type="dxa" w:w="16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C — Cost</w:t>
            </w:r>
          </w:p>
        </w:tc>
        <w:tc>
          <w:tcPr>
            <w:tcW w:type="dxa" w:w="362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Kayıp ve toplam kalite maliyetini yönetiyor muyuz?</w:t>
            </w:r>
          </w:p>
        </w:tc>
        <w:tc>
          <w:tcPr>
            <w:tcW w:type="dxa" w:w="441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Fire, açıklanamayan kayıp, COPQ, enerji/birim, bakım maliyeti</w:t>
            </w:r>
          </w:p>
        </w:tc>
      </w:tr>
      <w:tr>
        <w:trPr>
          <w:cantSplit w:val="1"/>
        </w:trPr>
        <w:tc>
          <w:tcPr>
            <w:tcW w:type="dxa" w:w="16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P — People</w:t>
            </w:r>
          </w:p>
        </w:tc>
        <w:tc>
          <w:tcPr>
            <w:tcW w:type="dxa" w:w="362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Yetkinlik ve iyileştirme kapasitemiz yeterli mi?</w:t>
            </w:r>
          </w:p>
        </w:tc>
        <w:tc>
          <w:tcPr>
            <w:tcW w:type="dxa" w:w="441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Yetkinlik açığı, eğitim etkinliği, öneri/CAPA kapanışı</w:t>
            </w:r>
          </w:p>
        </w:tc>
      </w:tr>
      <w:tr>
        <w:trPr>
          <w:cantSplit w:val="1"/>
        </w:trPr>
        <w:tc>
          <w:tcPr>
            <w:tcW w:type="dxa" w:w="16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E — Environment</w:t>
            </w:r>
          </w:p>
        </w:tc>
        <w:tc>
          <w:tcPr>
            <w:tcW w:type="dxa" w:w="362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Çevresel etki ve kaynak tüketimi kontrol altında mı?</w:t>
            </w:r>
          </w:p>
        </w:tc>
        <w:tc>
          <w:tcPr>
            <w:tcW w:type="dxa" w:w="441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Atık, döküntü, su/enerji, uygunsuzluk ve geri kazanım</w:t>
            </w:r>
          </w:p>
        </w:tc>
      </w:tr>
    </w:tbl>
    <w:p>
      <w:pPr>
        <w:spacing w:after="40"/>
        <w:widowControl w:val="1"/>
      </w:pPr>
    </w:p>
    <w:p>
      <w:pPr>
        <w:pStyle w:val="Heading2"/>
        <w:keepNext/>
        <w:widowControl w:val="1"/>
      </w:pPr>
      <w:r>
        <w:rPr>
          <w:rFonts w:ascii="Arial" w:hAnsi="Arial" w:eastAsia="Arial"/>
          <w:b/>
          <w:color w:val="183A59"/>
          <w:sz w:val="25"/>
        </w:rPr>
        <w:t>14.2 Yönetim toplantı ritmi</w:t>
      </w:r>
    </w:p>
    <w:tbl>
      <w:tblPr>
        <w:tblStyle w:val="TableGrid"/>
        <w:tblW w:type="dxa" w:w="9630"/>
        <w:jc w:val="left"/>
        <w:tblLayout w:type="fixed"/>
        <w:tblLook w:firstColumn="1" w:firstRow="1" w:lastColumn="0" w:lastRow="0" w:noHBand="0" w:noVBand="1" w:val="04A0"/>
        <w:tblInd w:type="dxa" w:w="120"/>
      </w:tblPr>
      <w:tblGrid>
        <w:gridCol w:w="1800"/>
        <w:gridCol w:w="4430"/>
        <w:gridCol w:w="3400"/>
      </w:tblGrid>
      <w:tr>
        <w:trPr>
          <w:tblHeader w:val="true"/>
          <w:cantSplit w:val="1"/>
        </w:trPr>
        <w:tc>
          <w:tcPr>
            <w:tcW w:type="dxa" w:w="18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Ritim</w:t>
            </w:r>
          </w:p>
        </w:tc>
        <w:tc>
          <w:tcPr>
            <w:tcW w:type="dxa" w:w="44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Odak</w:t>
            </w:r>
          </w:p>
        </w:tc>
        <w:tc>
          <w:tcPr>
            <w:tcW w:type="dxa" w:w="34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6"/>
              </w:rPr>
              <w:t>Zorunlu çıktı</w:t>
            </w:r>
          </w:p>
        </w:tc>
      </w:tr>
      <w:tr>
        <w:trPr>
          <w:cantSplit w:val="1"/>
        </w:trPr>
        <w:tc>
          <w:tcPr>
            <w:tcW w:type="dxa" w:w="1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Vardiya / günlük</w:t>
            </w:r>
          </w:p>
        </w:tc>
        <w:tc>
          <w:tcPr>
            <w:tcW w:type="dxa" w:w="4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Güvenlik, plan, batch statüsü, kalite, duruş, stok ve kritik risk</w:t>
            </w:r>
          </w:p>
        </w:tc>
        <w:tc>
          <w:tcPr>
            <w:tcW w:type="dxa" w:w="3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Anlık containment, sahip/termin, açık issue devri</w:t>
            </w:r>
          </w:p>
        </w:tc>
      </w:tr>
      <w:tr>
        <w:trPr>
          <w:cantSplit w:val="1"/>
        </w:trPr>
        <w:tc>
          <w:tcPr>
            <w:tcW w:type="dxa" w:w="1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Haftalık operasyon</w:t>
            </w:r>
          </w:p>
        </w:tc>
        <w:tc>
          <w:tcPr>
            <w:tcW w:type="dxa" w:w="4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Plan–gerçekleşen, HOLD/NCR, bakım, tedarik ve kaynak darboğazı</w:t>
            </w:r>
          </w:p>
        </w:tc>
        <w:tc>
          <w:tcPr>
            <w:tcW w:type="dxa" w:w="3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Çapraz fonksiyon aksiyon ve öncelik kararı</w:t>
            </w:r>
          </w:p>
        </w:tc>
      </w:tr>
      <w:tr>
        <w:trPr>
          <w:cantSplit w:val="1"/>
        </w:trPr>
        <w:tc>
          <w:tcPr>
            <w:tcW w:type="dxa" w:w="1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Aylık IMS / SQDCP</w:t>
            </w:r>
          </w:p>
        </w:tc>
        <w:tc>
          <w:tcPr>
            <w:tcW w:type="dxa" w:w="4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Trend, hedef, risk, compliance, CAPA/MOC ve müşteri</w:t>
            </w:r>
          </w:p>
        </w:tc>
        <w:tc>
          <w:tcPr>
            <w:tcW w:type="dxa" w:w="3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Kök neden, kaynak, target recovery ve yönetim kararı</w:t>
            </w:r>
          </w:p>
        </w:tc>
      </w:tr>
      <w:tr>
        <w:trPr>
          <w:cantSplit w:val="1"/>
        </w:trPr>
        <w:tc>
          <w:tcPr>
            <w:tcW w:type="dxa" w:w="1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Çeyreklik stratejik review</w:t>
            </w:r>
          </w:p>
        </w:tc>
        <w:tc>
          <w:tcPr>
            <w:tcW w:type="dxa" w:w="4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Portföy, kapasite, tedarik sürekliliği, yatırım ve artık risk</w:t>
            </w:r>
          </w:p>
        </w:tc>
        <w:tc>
          <w:tcPr>
            <w:tcW w:type="dxa" w:w="3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Risk kabulü, yatırım ve stratejik aksiyon</w:t>
            </w:r>
          </w:p>
        </w:tc>
      </w:tr>
      <w:tr>
        <w:trPr>
          <w:cantSplit w:val="1"/>
        </w:trPr>
        <w:tc>
          <w:tcPr>
            <w:tcW w:type="dxa" w:w="1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Yıllık / planlı YGG</w:t>
            </w:r>
          </w:p>
        </w:tc>
        <w:tc>
          <w:tcPr>
            <w:tcW w:type="dxa" w:w="4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IMS uygunluğu, yeterliliği, etkinliği ve stratejik uyumu</w:t>
            </w:r>
          </w:p>
        </w:tc>
        <w:tc>
          <w:tcPr>
            <w:tcW w:type="dxa" w:w="3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Kaynak, politika, hedef ve sistem değişikliği kararları</w:t>
            </w:r>
          </w:p>
        </w:tc>
      </w:tr>
      <w:tr>
        <w:trPr>
          <w:cantSplit w:val="1"/>
        </w:trPr>
        <w:tc>
          <w:tcPr>
            <w:tcW w:type="dxa" w:w="1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6"/>
              </w:rPr>
              <w:t>Olay bazlı</w:t>
            </w:r>
          </w:p>
        </w:tc>
        <w:tc>
          <w:tcPr>
            <w:tcW w:type="dxa" w:w="4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Ciddi olay, ürün riski, kriz, büyük değişiklik veya veri bütünlüğü</w:t>
            </w:r>
          </w:p>
        </w:tc>
        <w:tc>
          <w:tcPr>
            <w:tcW w:type="dxa" w:w="3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6"/>
              </w:rPr>
              <w:t>Stop/hold, kriz planı, bildirim ve recovery kararı</w:t>
            </w:r>
          </w:p>
        </w:tc>
      </w:tr>
    </w:tbl>
    <w:p>
      <w:pPr>
        <w:spacing w:after="40"/>
        <w:widowControl w:val="1"/>
      </w:pPr>
    </w:p>
    <w:p>
      <w:pPr>
        <w:pStyle w:val="Heading2"/>
        <w:keepNext/>
        <w:widowControl w:val="1"/>
      </w:pPr>
      <w:r>
        <w:rPr>
          <w:rFonts w:ascii="Arial" w:hAnsi="Arial" w:eastAsia="Arial"/>
          <w:b/>
          <w:color w:val="183A59"/>
          <w:sz w:val="25"/>
        </w:rPr>
        <w:t>14.3 Başlangıç kalite ve operasyon hedefleri</w:t>
      </w:r>
    </w:p>
    <w:tbl>
      <w:tblPr>
        <w:tblStyle w:val="TableGrid"/>
        <w:tblW w:type="dxa" w:w="9630"/>
        <w:jc w:val="left"/>
        <w:tblLayout w:type="fixed"/>
        <w:tblLook w:firstColumn="1" w:firstRow="1" w:lastColumn="0" w:lastRow="0" w:noHBand="0" w:noVBand="1" w:val="04A0"/>
        <w:tblInd w:type="dxa" w:w="120"/>
      </w:tblPr>
      <w:tblGrid>
        <w:gridCol w:w="3100"/>
        <w:gridCol w:w="4730"/>
        <w:gridCol w:w="1800"/>
      </w:tblGrid>
      <w:tr>
        <w:trPr>
          <w:tblHeader w:val="true"/>
          <w:cantSplit w:val="1"/>
        </w:trPr>
        <w:tc>
          <w:tcPr>
            <w:tcW w:type="dxa" w:w="31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KPI</w:t>
            </w:r>
          </w:p>
        </w:tc>
        <w:tc>
          <w:tcPr>
            <w:tcW w:type="dxa" w:w="47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Tanım</w:t>
            </w:r>
          </w:p>
        </w:tc>
        <w:tc>
          <w:tcPr>
            <w:tcW w:type="dxa" w:w="18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Başlangıç hedefi</w:t>
            </w:r>
          </w:p>
        </w:tc>
      </w:tr>
      <w:tr>
        <w:trPr>
          <w:cantSplit w:val="1"/>
        </w:trPr>
        <w:tc>
          <w:tcPr>
            <w:tcW w:type="dxa" w:w="3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Uygun ürün plan gerçekleşmesi</w:t>
            </w:r>
          </w:p>
        </w:tc>
        <w:tc>
          <w:tcPr>
            <w:tcW w:type="dxa" w:w="4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Nihai uygun kg / plan kg</w:t>
            </w:r>
          </w:p>
        </w:tc>
        <w:tc>
          <w:tcPr>
            <w:tcW w:type="dxa" w:w="1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 %95</w:t>
            </w:r>
          </w:p>
        </w:tc>
      </w:tr>
      <w:tr>
        <w:trPr>
          <w:cantSplit w:val="1"/>
        </w:trPr>
        <w:tc>
          <w:tcPr>
            <w:tcW w:type="dxa" w:w="3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FPY</w:t>
            </w:r>
          </w:p>
        </w:tc>
        <w:tc>
          <w:tcPr>
            <w:tcW w:type="dxa" w:w="4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İlk sefer uygun kg / brüt kg</w:t>
            </w:r>
          </w:p>
        </w:tc>
        <w:tc>
          <w:tcPr>
            <w:tcW w:type="dxa" w:w="1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 %98</w:t>
            </w:r>
          </w:p>
        </w:tc>
      </w:tr>
      <w:tr>
        <w:trPr>
          <w:cantSplit w:val="1"/>
        </w:trPr>
        <w:tc>
          <w:tcPr>
            <w:tcW w:type="dxa" w:w="3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Rework</w:t>
            </w:r>
          </w:p>
        </w:tc>
        <w:tc>
          <w:tcPr>
            <w:tcW w:type="dxa" w:w="4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Rework’e ayrılan kg / brüt kg</w:t>
            </w:r>
          </w:p>
        </w:tc>
        <w:tc>
          <w:tcPr>
            <w:tcW w:type="dxa" w:w="1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 %1,5</w:t>
            </w:r>
          </w:p>
        </w:tc>
      </w:tr>
      <w:tr>
        <w:trPr>
          <w:cantSplit w:val="1"/>
        </w:trPr>
        <w:tc>
          <w:tcPr>
            <w:tcW w:type="dxa" w:w="3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Fire</w:t>
            </w:r>
          </w:p>
        </w:tc>
        <w:tc>
          <w:tcPr>
            <w:tcW w:type="dxa" w:w="4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Fire kg / brüt kg</w:t>
            </w:r>
          </w:p>
        </w:tc>
        <w:tc>
          <w:tcPr>
            <w:tcW w:type="dxa" w:w="1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 %0,5</w:t>
            </w:r>
          </w:p>
        </w:tc>
      </w:tr>
      <w:tr>
        <w:trPr>
          <w:cantSplit w:val="1"/>
        </w:trPr>
        <w:tc>
          <w:tcPr>
            <w:tcW w:type="dxa" w:w="3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Açıklanamayan kayıp</w:t>
            </w:r>
          </w:p>
        </w:tc>
        <w:tc>
          <w:tcPr>
            <w:tcW w:type="dxa" w:w="47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Kütle dengesi farkı / brüt kg</w:t>
            </w:r>
          </w:p>
        </w:tc>
        <w:tc>
          <w:tcPr>
            <w:tcW w:type="dxa" w:w="1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 %0,2</w:t>
            </w:r>
          </w:p>
        </w:tc>
      </w:tr>
      <w:tr>
        <w:trPr>
          <w:cantSplit w:val="1"/>
        </w:trPr>
        <w:tc>
          <w:tcPr>
            <w:tcW w:type="dxa" w:w="3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Plan dışı duruş</w:t>
            </w:r>
          </w:p>
        </w:tc>
        <w:tc>
          <w:tcPr>
            <w:tcW w:type="dxa" w:w="47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Plansız duruş dk / planlı üretim dk</w:t>
            </w:r>
          </w:p>
        </w:tc>
        <w:tc>
          <w:tcPr>
            <w:tcW w:type="dxa" w:w="1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 %5</w:t>
            </w:r>
          </w:p>
        </w:tc>
      </w:tr>
    </w:tbl>
    <w:p>
      <w:pPr>
        <w:spacing w:after="40"/>
        <w:widowControl w:val="1"/>
      </w:pPr>
    </w:p>
    <w:p>
      <w:pPr>
        <w:spacing w:after="120"/>
        <w:widowControl w:val="1"/>
      </w:pPr>
      <w:r>
        <w:rPr>
          <w:rFonts w:ascii="Arial" w:hAnsi="Arial" w:eastAsia="Arial"/>
          <w:color w:val="142536"/>
          <w:sz w:val="21"/>
        </w:rPr>
        <w:t>Bu değerler kurulum hedefidir; proses kabiliyeti, müşteri şartı, yasal gereklilik ve gerçek baz veri görüldükçe yalnız kontrollü KPI master değişikliğiyle revize edilir.</w:t>
      </w:r>
    </w:p>
    <w:p>
      <w:pPr>
        <w:pStyle w:val="Heading1"/>
        <w:keepNext/>
        <w:pageBreakBefore w:val="0"/>
        <w:widowControl w:val="1"/>
      </w:pPr>
      <w:r>
        <w:rPr>
          <w:rFonts w:ascii="Arial" w:hAnsi="Arial" w:eastAsia="Arial"/>
          <w:b/>
          <w:color w:val="197B96"/>
          <w:sz w:val="34"/>
        </w:rPr>
        <w:t>15. Çevre, iş sağlığı-güvenliği ve etik işletme</w:t>
      </w:r>
    </w:p>
    <w:p>
      <w:pPr>
        <w:pStyle w:val="Heading2"/>
        <w:keepNext/>
        <w:widowControl w:val="1"/>
      </w:pPr>
      <w:r>
        <w:rPr>
          <w:rFonts w:ascii="Arial" w:hAnsi="Arial" w:eastAsia="Arial"/>
          <w:b/>
          <w:color w:val="183A59"/>
          <w:sz w:val="25"/>
        </w:rPr>
        <w:t>15.1 HSE tasarım ilkeleri</w:t>
      </w:r>
    </w:p>
    <w:p>
      <w:pPr>
        <w:spacing w:after="80" w:line="280" w:lineRule="auto"/>
        <w:ind w:left="720" w:hanging="360"/>
        <w:numPr>
          <w:ilvl w:val="0"/>
          <w:numId w:val="10"/>
        </w:numPr>
        <w:widowControl w:val="1"/>
      </w:pPr>
      <w:r>
        <w:rPr>
          <w:rFonts w:ascii="Arial" w:hAnsi="Arial" w:eastAsia="Arial"/>
          <w:color w:val="142536"/>
          <w:sz w:val="21"/>
        </w:rPr>
        <w:t>Kimyasal tehlike; SDS, etiket, uyumluluk matrisi, ikincil kontainment, havalandırma, PPE ve acil müdahale ile kaynağında kontrol edilir.</w:t>
      </w:r>
    </w:p>
    <w:p>
      <w:pPr>
        <w:spacing w:after="80" w:line="280" w:lineRule="auto"/>
        <w:ind w:left="720" w:hanging="360"/>
        <w:numPr>
          <w:ilvl w:val="0"/>
          <w:numId w:val="10"/>
        </w:numPr>
        <w:widowControl w:val="1"/>
      </w:pPr>
      <w:r>
        <w:rPr>
          <w:rFonts w:ascii="Arial" w:hAnsi="Arial" w:eastAsia="Arial"/>
          <w:color w:val="142536"/>
          <w:sz w:val="21"/>
        </w:rPr>
        <w:t>Üretim, bakım ve temizlikte LOTO, kapalı alan, sıcak çalışma, yüksekte çalışma ve kaldırma riskleri izin/enerji izolasyon sistemiyle yönetilir.</w:t>
      </w:r>
    </w:p>
    <w:p>
      <w:pPr>
        <w:spacing w:after="80" w:line="280" w:lineRule="auto"/>
        <w:ind w:left="720" w:hanging="360"/>
        <w:numPr>
          <w:ilvl w:val="0"/>
          <w:numId w:val="10"/>
        </w:numPr>
        <w:widowControl w:val="1"/>
      </w:pPr>
      <w:r>
        <w:rPr>
          <w:rFonts w:ascii="Arial" w:hAnsi="Arial" w:eastAsia="Arial"/>
          <w:color w:val="142536"/>
          <w:sz w:val="21"/>
        </w:rPr>
        <w:t>Atık hiyerarşisi; önleme, azaltma, yeniden kullanım/geri kazanım ve son olarak mevzuata uygun bertaraf sırasını izler.</w:t>
      </w:r>
    </w:p>
    <w:p>
      <w:pPr>
        <w:spacing w:after="80" w:line="280" w:lineRule="auto"/>
        <w:ind w:left="720" w:hanging="360"/>
        <w:numPr>
          <w:ilvl w:val="0"/>
          <w:numId w:val="10"/>
        </w:numPr>
        <w:widowControl w:val="1"/>
      </w:pPr>
      <w:r>
        <w:rPr>
          <w:rFonts w:ascii="Arial" w:hAnsi="Arial" w:eastAsia="Arial"/>
          <w:color w:val="142536"/>
          <w:sz w:val="21"/>
        </w:rPr>
        <w:t>Döküntü, emisyon, su/enerji tüketimi ve tehlikeli atık miktarı ölçülür; çevresel değişiklikler yaşam döngüsü bakışıyla review edilir.</w:t>
      </w:r>
    </w:p>
    <w:p>
      <w:pPr>
        <w:spacing w:after="80" w:line="280" w:lineRule="auto"/>
        <w:ind w:left="720" w:hanging="360"/>
        <w:numPr>
          <w:ilvl w:val="0"/>
          <w:numId w:val="10"/>
        </w:numPr>
        <w:widowControl w:val="1"/>
      </w:pPr>
      <w:r>
        <w:rPr>
          <w:rFonts w:ascii="Arial" w:hAnsi="Arial" w:eastAsia="Arial"/>
          <w:color w:val="142536"/>
          <w:sz w:val="21"/>
        </w:rPr>
        <w:t>Çalışan ve yükleniciler tehlike/near miss bildirimine katılır; ciddi riskte stop-work hakkı korunur.</w:t>
      </w:r>
    </w:p>
    <w:p>
      <w:pPr>
        <w:pStyle w:val="Heading2"/>
        <w:keepNext/>
        <w:widowControl w:val="1"/>
      </w:pPr>
      <w:r>
        <w:rPr>
          <w:rFonts w:ascii="Arial" w:hAnsi="Arial" w:eastAsia="Arial"/>
          <w:b/>
          <w:color w:val="183A59"/>
          <w:sz w:val="25"/>
        </w:rPr>
        <w:t>15.2 Etik ve uygunluk</w:t>
      </w:r>
    </w:p>
    <w:p>
      <w:pPr>
        <w:spacing w:after="120"/>
        <w:widowControl w:val="1"/>
      </w:pPr>
      <w:r>
        <w:rPr>
          <w:rFonts w:ascii="Arial" w:hAnsi="Arial" w:eastAsia="Arial"/>
          <w:color w:val="142536"/>
          <w:sz w:val="21"/>
        </w:rPr>
        <w:t>SARL MAPA ALGÉRIE; ürün iddiasını teknik kanıtla sınırlar, sonuçları seçerek sunmaz, yasal/teknik dosyayı yanıltıcı biçimde düzenlemez ve tedarikçi/müşteri ilişkilerinde çıkar çatışmasını açıklanabilir kılar. Uygunsuz talep, misilleme veya veri baskısı yönetim ve güvence kanallarına escalation sebebidir.</w:t>
      </w:r>
    </w:p>
    <w:p>
      <w:pPr>
        <w:pStyle w:val="Heading1"/>
        <w:keepNext/>
        <w:pageBreakBefore w:val="0"/>
        <w:widowControl w:val="1"/>
      </w:pPr>
      <w:r>
        <w:rPr>
          <w:rFonts w:ascii="Arial" w:hAnsi="Arial" w:eastAsia="Arial"/>
          <w:b/>
          <w:color w:val="197B96"/>
          <w:sz w:val="34"/>
        </w:rPr>
        <w:t>16. Değişmez kontrol kuralları</w:t>
      </w:r>
    </w:p>
    <w:p>
      <w:pPr>
        <w:spacing w:after="120"/>
        <w:widowControl w:val="1"/>
      </w:pPr>
      <w:r>
        <w:rPr>
          <w:rFonts w:ascii="Arial" w:hAnsi="Arial" w:eastAsia="Arial"/>
          <w:color w:val="142536"/>
          <w:sz w:val="21"/>
        </w:rPr>
        <w:t>Aşağıdaki kurallar SARL MAPA ALGÉRIE işletim sisteminin “non-negotiable” çekirdeğidir. Yerel hedef, acil talep veya yönetici talimatı bu kuralları tek başına askıya alamaz.</w:t>
      </w:r>
    </w:p>
    <w:tbl>
      <w:tblPr>
        <w:tblStyle w:val="TableGrid"/>
        <w:tblW w:type="dxa" w:w="9630"/>
        <w:jc w:val="left"/>
        <w:tblLayout w:type="fixed"/>
        <w:tblLook w:firstColumn="1" w:firstRow="1" w:lastColumn="0" w:lastRow="0" w:noHBand="0" w:noVBand="1" w:val="04A0"/>
        <w:tblInd w:type="dxa" w:w="120"/>
      </w:tblPr>
      <w:tblGrid>
        <w:gridCol w:w="800"/>
        <w:gridCol w:w="8830"/>
      </w:tblGrid>
      <w:tr>
        <w:trPr>
          <w:tblHeader w:val="true"/>
          <w:cantSplit w:val="1"/>
        </w:trPr>
        <w:tc>
          <w:tcPr>
            <w:tcW w:type="dxa" w:w="8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No.</w:t>
            </w:r>
          </w:p>
        </w:tc>
        <w:tc>
          <w:tcPr>
            <w:tcW w:type="dxa" w:w="88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8"/>
              </w:rPr>
              <w:t>Değişmez kural</w:t>
            </w:r>
          </w:p>
        </w:tc>
      </w:tr>
      <w:tr>
        <w:trPr>
          <w:cantSplit w:val="1"/>
        </w:trPr>
        <w:tc>
          <w:tcPr>
            <w:tcW w:type="dxa" w:w="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01</w:t>
            </w:r>
          </w:p>
        </w:tc>
        <w:tc>
          <w:tcPr>
            <w:tcW w:type="dxa" w:w="8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Onaysız reçete, spesifikasyon, hammadde veya tedarikçiyle üretim yapılmaz.</w:t>
            </w:r>
          </w:p>
        </w:tc>
      </w:tr>
      <w:tr>
        <w:trPr>
          <w:cantSplit w:val="1"/>
        </w:trPr>
        <w:tc>
          <w:tcPr>
            <w:tcW w:type="dxa" w:w="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02</w:t>
            </w:r>
          </w:p>
        </w:tc>
        <w:tc>
          <w:tcPr>
            <w:tcW w:type="dxa" w:w="8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KARANTİNA / HOLD / REJECT statüsündeki malzeme veya ürün kullanılamaz ve sevk edilemez.</w:t>
            </w:r>
          </w:p>
        </w:tc>
      </w:tr>
      <w:tr>
        <w:trPr>
          <w:cantSplit w:val="1"/>
        </w:trPr>
        <w:tc>
          <w:tcPr>
            <w:tcW w:type="dxa" w:w="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03</w:t>
            </w:r>
          </w:p>
        </w:tc>
        <w:tc>
          <w:tcPr>
            <w:tcW w:type="dxa" w:w="8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Geçerli numune, ham veri ve bağımsız review olmadan ürün serbest bırakılmaz.</w:t>
            </w:r>
          </w:p>
        </w:tc>
      </w:tr>
      <w:tr>
        <w:trPr>
          <w:cantSplit w:val="1"/>
        </w:trPr>
        <w:tc>
          <w:tcPr>
            <w:tcW w:type="dxa" w:w="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04</w:t>
            </w:r>
          </w:p>
        </w:tc>
        <w:tc>
          <w:tcPr>
            <w:tcW w:type="dxa" w:w="8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Kritik ölçüm; geçerli kalibrasyon/ara kontrol ve yetkili kullanıcı olmadan kabul edilmez.</w:t>
            </w:r>
          </w:p>
        </w:tc>
      </w:tr>
      <w:tr>
        <w:trPr>
          <w:cantSplit w:val="1"/>
        </w:trPr>
        <w:tc>
          <w:tcPr>
            <w:tcW w:type="dxa" w:w="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05</w:t>
            </w:r>
          </w:p>
        </w:tc>
        <w:tc>
          <w:tcPr>
            <w:tcW w:type="dxa" w:w="8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Kayıt geriye dönük oluşturulmaz; veri silinmez, gizlenmez veya uygun sonuç seçilerek raporlanmaz.</w:t>
            </w:r>
          </w:p>
        </w:tc>
      </w:tr>
      <w:tr>
        <w:trPr>
          <w:cantSplit w:val="1"/>
        </w:trPr>
        <w:tc>
          <w:tcPr>
            <w:tcW w:type="dxa" w:w="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06</w:t>
            </w:r>
          </w:p>
        </w:tc>
        <w:tc>
          <w:tcPr>
            <w:tcW w:type="dxa" w:w="8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Reçete, proses, ekipman, metot, yazılım veya organizasyon değişikliği MOC olmadan canlıya alınmaz.</w:t>
            </w:r>
          </w:p>
        </w:tc>
      </w:tr>
      <w:tr>
        <w:trPr>
          <w:cantSplit w:val="1"/>
        </w:trPr>
        <w:tc>
          <w:tcPr>
            <w:tcW w:type="dxa" w:w="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07</w:t>
            </w:r>
          </w:p>
        </w:tc>
        <w:tc>
          <w:tcPr>
            <w:tcW w:type="dxa" w:w="8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QA/QC’nin hold, red ve release kararı üretim, satış veya sevkiyat baskısıyla geçersiz kılınmaz.</w:t>
            </w:r>
          </w:p>
        </w:tc>
      </w:tr>
      <w:tr>
        <w:trPr>
          <w:cantSplit w:val="1"/>
        </w:trPr>
        <w:tc>
          <w:tcPr>
            <w:tcW w:type="dxa" w:w="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08</w:t>
            </w:r>
          </w:p>
        </w:tc>
        <w:tc>
          <w:tcPr>
            <w:tcW w:type="dxa" w:w="8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Emniyetsiz iş, enerji izolasyonu ve kritik HSE kontrolü bypass edilerek sürdürülemez.</w:t>
            </w:r>
          </w:p>
        </w:tc>
      </w:tr>
      <w:tr>
        <w:trPr>
          <w:cantSplit w:val="1"/>
        </w:trPr>
        <w:tc>
          <w:tcPr>
            <w:tcW w:type="dxa" w:w="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09</w:t>
            </w:r>
          </w:p>
        </w:tc>
        <w:tc>
          <w:tcPr>
            <w:tcW w:type="dxa" w:w="8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Kritik görev, cihaz, test veya karar yetkisiz kişi tarafından yürütülemez.</w:t>
            </w:r>
          </w:p>
        </w:tc>
      </w:tr>
      <w:tr>
        <w:trPr>
          <w:cantSplit w:val="1"/>
        </w:trPr>
        <w:tc>
          <w:tcPr>
            <w:tcW w:type="dxa" w:w="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10</w:t>
            </w:r>
          </w:p>
        </w:tc>
        <w:tc>
          <w:tcPr>
            <w:tcW w:type="dxa" w:w="8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NCR/CAPA yalnız aksiyon yapıldı diye kapanmaz; objektif etkinlik kanıtı gerekir.</w:t>
            </w:r>
          </w:p>
        </w:tc>
      </w:tr>
      <w:tr>
        <w:trPr>
          <w:cantSplit w:val="1"/>
        </w:trPr>
        <w:tc>
          <w:tcPr>
            <w:tcW w:type="dxa" w:w="8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11</w:t>
            </w:r>
          </w:p>
        </w:tc>
        <w:tc>
          <w:tcPr>
            <w:tcW w:type="dxa" w:w="88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Master data sahibi, kontrol eden ve yürürlük tarihi olmadan yayımlanmaz.</w:t>
            </w:r>
          </w:p>
        </w:tc>
      </w:tr>
      <w:tr>
        <w:trPr>
          <w:cantSplit w:val="1"/>
        </w:trPr>
        <w:tc>
          <w:tcPr>
            <w:tcW w:type="dxa" w:w="8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8"/>
              </w:rPr>
              <w:t>12</w:t>
            </w:r>
          </w:p>
        </w:tc>
        <w:tc>
          <w:tcPr>
            <w:tcW w:type="dxa" w:w="88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8"/>
              </w:rPr>
              <w:t>Ciddi ürün, insan, çevre veya veri bütünlüğü riski gecikmeden escalation edilir.</w:t>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FFF7E6"/>
            <w:tcBorders>
              <w:top w:val="single" w:sz="5" w:space="0" w:color="E4C77B"/>
              <w:left w:val="single" w:sz="5" w:space="0" w:color="E4C77B"/>
              <w:bottom w:val="single" w:sz="5" w:space="0" w:color="E4C77B"/>
              <w:right w:val="single" w:sz="5" w:space="0" w:color="E4C77B"/>
              <w:insideH w:val="single" w:sz="5" w:space="0" w:color="E4C77B"/>
              <w:insideV w:val="single" w:sz="5" w:space="0" w:color="E4C77B"/>
            </w:tcBorders>
            <w:vAlign w:val="center"/>
            <w:tcMar>
              <w:top w:w="125" w:type="dxa"/>
              <w:bottom w:w="125" w:type="dxa"/>
              <w:start w:w="180" w:type="dxa"/>
              <w:end w:w="180" w:type="dxa"/>
            </w:tcMar>
          </w:tcPr>
          <w:p>
            <w:pPr>
              <w:spacing w:after="40" w:line="264" w:lineRule="auto"/>
            </w:pPr>
            <w:r>
              <w:rPr>
                <w:rFonts w:ascii="Arial" w:hAnsi="Arial" w:eastAsia="Arial"/>
                <w:b/>
                <w:color w:val="7A5A00"/>
                <w:sz w:val="21"/>
              </w:rPr>
              <w:t>Sapma yönetimi</w:t>
            </w:r>
          </w:p>
          <w:p>
            <w:pPr>
              <w:spacing w:after="0" w:line="269" w:lineRule="auto"/>
            </w:pPr>
            <w:r>
              <w:rPr>
                <w:rFonts w:ascii="Arial" w:hAnsi="Arial" w:eastAsia="Arial"/>
                <w:color w:val="142536"/>
                <w:sz w:val="21"/>
              </w:rPr>
              <w:t>Bu kurallardan sapma talebi ortaya çıktığında işlem normal onayla ilerletilmez. İş/ürün güvenli statüye alınır; yasal ve teknik uygunluk değerlendirilir; gerekiyorsa MAPA-CDD-001 revizyonu veya resmi derogasyon/deviation süreci başlatılır.</w:t>
            </w:r>
          </w:p>
        </w:tc>
      </w:tr>
    </w:tbl>
    <w:p>
      <w:pPr>
        <w:spacing w:after="20"/>
        <w:widowControl w:val="1"/>
      </w:pPr>
    </w:p>
    <w:p>
      <w:pPr>
        <w:pStyle w:val="Heading1"/>
        <w:keepNext/>
        <w:pageBreakBefore w:val="0"/>
        <w:widowControl w:val="1"/>
      </w:pPr>
      <w:r>
        <w:rPr>
          <w:rFonts w:ascii="Arial" w:hAnsi="Arial" w:eastAsia="Arial"/>
          <w:b/>
          <w:color w:val="197B96"/>
          <w:sz w:val="34"/>
        </w:rPr>
        <w:t>17. Uygulama zinciri ve sonraki dokümanlar</w:t>
      </w:r>
    </w:p>
    <w:p>
      <w:pPr>
        <w:spacing w:after="120"/>
        <w:widowControl w:val="1"/>
      </w:pPr>
      <w:r>
        <w:rPr>
          <w:rFonts w:ascii="Arial" w:hAnsi="Arial" w:eastAsia="Arial"/>
          <w:color w:val="142536"/>
          <w:sz w:val="21"/>
        </w:rPr>
        <w:t>MAPA-CDD-001’in onayı, organizasyonu otomatik olarak yürürlüğe sokmaz. Kurucu kararlar aşağıdaki kontrollü belgeler ve master verilerle işletilebilir hâle getirilir.</w:t>
      </w:r>
    </w:p>
    <w:tbl>
      <w:tblPr>
        <w:tblStyle w:val="TableGrid"/>
        <w:tblW w:type="dxa" w:w="9630"/>
        <w:jc w:val="left"/>
        <w:tblLayout w:type="fixed"/>
        <w:tblLook w:firstColumn="1" w:firstRow="1" w:lastColumn="0" w:lastRow="0" w:noHBand="0" w:noVBand="1" w:val="04A0"/>
        <w:tblInd w:type="dxa" w:w="120"/>
      </w:tblPr>
      <w:tblGrid>
        <w:gridCol w:w="700"/>
        <w:gridCol w:w="2550"/>
        <w:gridCol w:w="3980"/>
        <w:gridCol w:w="2400"/>
      </w:tblGrid>
      <w:tr>
        <w:trPr>
          <w:tblHeader w:val="true"/>
          <w:cantSplit w:val="1"/>
        </w:trPr>
        <w:tc>
          <w:tcPr>
            <w:tcW w:type="dxa" w:w="7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Sıra</w:t>
            </w:r>
          </w:p>
        </w:tc>
        <w:tc>
          <w:tcPr>
            <w:tcW w:type="dxa" w:w="255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Çıktı</w:t>
            </w:r>
          </w:p>
        </w:tc>
        <w:tc>
          <w:tcPr>
            <w:tcW w:type="dxa" w:w="398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MAPA-CDD-001 ile bağlantı</w:t>
            </w:r>
          </w:p>
        </w:tc>
        <w:tc>
          <w:tcPr>
            <w:tcW w:type="dxa" w:w="24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5"/>
              </w:rPr>
              <w:t>Yürürlük kanıtı</w:t>
            </w:r>
          </w:p>
        </w:tc>
      </w:tr>
      <w:tr>
        <w:trPr>
          <w:cantSplit w:val="1"/>
        </w:trPr>
        <w:tc>
          <w:tcPr>
            <w:tcW w:type="dxa" w:w="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1</w:t>
            </w:r>
          </w:p>
        </w:tc>
        <w:tc>
          <w:tcPr>
            <w:tcW w:type="dxa" w:w="25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MAPA-CDD-002 Organization Design</w:t>
            </w:r>
          </w:p>
        </w:tc>
        <w:tc>
          <w:tcPr>
            <w:tcW w:type="dxa" w:w="39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Süreç sahipleri, roller, raporlama, bağımsızlık, vekâlet ve RACI/DoA</w:t>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Onaylı organizasyon + görev/yetki kayıtları</w:t>
            </w:r>
          </w:p>
        </w:tc>
      </w:tr>
      <w:tr>
        <w:trPr>
          <w:cantSplit w:val="1"/>
        </w:trPr>
        <w:tc>
          <w:tcPr>
            <w:tcW w:type="dxa" w:w="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2</w:t>
            </w:r>
          </w:p>
        </w:tc>
        <w:tc>
          <w:tcPr>
            <w:tcW w:type="dxa" w:w="25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IMS Manual ve kapsam</w:t>
            </w:r>
          </w:p>
        </w:tc>
        <w:tc>
          <w:tcPr>
            <w:tcW w:type="dxa" w:w="39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Süreç modeli, standart kapsamı, ilgili taraflar ve uygulama sınırı</w:t>
            </w:r>
          </w:p>
        </w:tc>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Onaylı L1 manual ve süreç etkileşim haritası</w:t>
            </w:r>
          </w:p>
        </w:tc>
      </w:tr>
      <w:tr>
        <w:trPr>
          <w:cantSplit w:val="1"/>
        </w:trPr>
        <w:tc>
          <w:tcPr>
            <w:tcW w:type="dxa" w:w="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3</w:t>
            </w:r>
          </w:p>
        </w:tc>
        <w:tc>
          <w:tcPr>
            <w:tcW w:type="dxa" w:w="25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Politikalar ve hedefler</w:t>
            </w:r>
          </w:p>
        </w:tc>
        <w:tc>
          <w:tcPr>
            <w:tcW w:type="dxa" w:w="39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Misyon, değerler, kalite/HSE/çevre taahhütleri ve SQDCP</w:t>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İmzalı politika, hedef ve iletişim kaydı</w:t>
            </w:r>
          </w:p>
        </w:tc>
      </w:tr>
      <w:tr>
        <w:trPr>
          <w:cantSplit w:val="1"/>
        </w:trPr>
        <w:tc>
          <w:tcPr>
            <w:tcW w:type="dxa" w:w="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4</w:t>
            </w:r>
          </w:p>
        </w:tc>
        <w:tc>
          <w:tcPr>
            <w:tcW w:type="dxa" w:w="25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Sistem prosedürleri</w:t>
            </w:r>
          </w:p>
        </w:tc>
        <w:tc>
          <w:tcPr>
            <w:tcW w:type="dxa" w:w="39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Doküman, risk, NCR/CAPA, MOC, audit, eğitim, yönetim review</w:t>
            </w:r>
          </w:p>
        </w:tc>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Yayımlanmış L2 prosedür ve yetkiler</w:t>
            </w:r>
          </w:p>
        </w:tc>
      </w:tr>
      <w:tr>
        <w:trPr>
          <w:cantSplit w:val="1"/>
        </w:trPr>
        <w:tc>
          <w:tcPr>
            <w:tcW w:type="dxa" w:w="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5</w:t>
            </w:r>
          </w:p>
        </w:tc>
        <w:tc>
          <w:tcPr>
            <w:tcW w:type="dxa" w:w="25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P1–Pn proses paketleri</w:t>
            </w:r>
          </w:p>
        </w:tc>
        <w:tc>
          <w:tcPr>
            <w:tcW w:type="dxa" w:w="39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Değer akışı ve destek süreçlerinin alan, karar, kayıt ve KPI tasarımı</w:t>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Excel/SOP/form/master data seti</w:t>
            </w:r>
          </w:p>
        </w:tc>
      </w:tr>
      <w:tr>
        <w:trPr>
          <w:cantSplit w:val="1"/>
        </w:trPr>
        <w:tc>
          <w:tcPr>
            <w:tcW w:type="dxa" w:w="7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6</w:t>
            </w:r>
          </w:p>
        </w:tc>
        <w:tc>
          <w:tcPr>
            <w:tcW w:type="dxa" w:w="255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ISO Certification Package</w:t>
            </w:r>
          </w:p>
        </w:tc>
        <w:tc>
          <w:tcPr>
            <w:tcW w:type="dxa" w:w="398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Kayıt, uygulama, audit, CAPA ve YGG ile etkinlik kanıtı</w:t>
            </w:r>
          </w:p>
        </w:tc>
        <w:tc>
          <w:tcPr>
            <w:tcW w:type="dxa" w:w="24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Hazır olma review ve belgelendirme sonucu</w:t>
            </w:r>
          </w:p>
        </w:tc>
      </w:tr>
      <w:tr>
        <w:trPr>
          <w:cantSplit w:val="1"/>
        </w:trPr>
        <w:tc>
          <w:tcPr>
            <w:tcW w:type="dxa" w:w="7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5"/>
              </w:rPr>
              <w:t>7</w:t>
            </w:r>
          </w:p>
        </w:tc>
        <w:tc>
          <w:tcPr>
            <w:tcW w:type="dxa" w:w="255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Digital Knowledge Library</w:t>
            </w:r>
          </w:p>
        </w:tc>
        <w:tc>
          <w:tcPr>
            <w:tcW w:type="dxa" w:w="398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Onaylı sistemin arama, öğrenme ve karar destek katmanına dönüşümü</w:t>
            </w:r>
          </w:p>
        </w:tc>
        <w:tc>
          <w:tcPr>
            <w:tcW w:type="dxa" w:w="24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5"/>
              </w:rPr>
              <w:t>Rol bazlı erişim, versiyon ve kullanım analitiği</w:t>
            </w:r>
          </w:p>
        </w:tc>
      </w:tr>
    </w:tbl>
    <w:p>
      <w:pPr>
        <w:spacing w:after="40"/>
        <w:widowControl w:val="1"/>
      </w:pPr>
    </w:p>
    <w:p>
      <w:pPr>
        <w:pStyle w:val="Heading2"/>
        <w:keepNext/>
        <w:widowControl w:val="1"/>
      </w:pPr>
      <w:r>
        <w:rPr>
          <w:rFonts w:ascii="Arial" w:hAnsi="Arial" w:eastAsia="Arial"/>
          <w:b/>
          <w:color w:val="183A59"/>
          <w:sz w:val="25"/>
        </w:rPr>
        <w:t>17.1 MAPA-CDD-002 için bağlayıcı tasarım girdileri</w:t>
      </w:r>
    </w:p>
    <w:p>
      <w:pPr>
        <w:spacing w:after="80" w:line="280" w:lineRule="auto"/>
        <w:ind w:left="720" w:hanging="360"/>
        <w:numPr>
          <w:ilvl w:val="0"/>
          <w:numId w:val="10"/>
        </w:numPr>
        <w:widowControl w:val="1"/>
      </w:pPr>
      <w:r>
        <w:rPr>
          <w:rFonts w:ascii="Arial" w:hAnsi="Arial" w:eastAsia="Arial"/>
          <w:color w:val="142536"/>
          <w:sz w:val="21"/>
        </w:rPr>
        <w:t>Organizasyon departman sayısına göre değil, süreç sahipliği ve karar mimarisine göre kurulacaktır.</w:t>
      </w:r>
    </w:p>
    <w:p>
      <w:pPr>
        <w:spacing w:after="80" w:line="280" w:lineRule="auto"/>
        <w:ind w:left="720" w:hanging="360"/>
        <w:numPr>
          <w:ilvl w:val="0"/>
          <w:numId w:val="10"/>
        </w:numPr>
        <w:widowControl w:val="1"/>
      </w:pPr>
      <w:r>
        <w:rPr>
          <w:rFonts w:ascii="Arial" w:hAnsi="Arial" w:eastAsia="Arial"/>
          <w:color w:val="142536"/>
          <w:sz w:val="21"/>
        </w:rPr>
        <w:t>QA/QC ürün serbest bırakma ve sistem güvence rolünde üretim/satıştan bağımsız konumlandırılacaktır.</w:t>
      </w:r>
    </w:p>
    <w:p>
      <w:pPr>
        <w:spacing w:after="80" w:line="280" w:lineRule="auto"/>
        <w:ind w:left="720" w:hanging="360"/>
        <w:numPr>
          <w:ilvl w:val="0"/>
          <w:numId w:val="10"/>
        </w:numPr>
        <w:widowControl w:val="1"/>
      </w:pPr>
      <w:r>
        <w:rPr>
          <w:rFonts w:ascii="Arial" w:hAnsi="Arial" w:eastAsia="Arial"/>
          <w:color w:val="142536"/>
          <w:sz w:val="21"/>
        </w:rPr>
        <w:t>HSE stop-work, bakım kullanım dışı bırakma ve teknik MOC veto/escalation yetkileri açık gösterilecektir.</w:t>
      </w:r>
    </w:p>
    <w:p>
      <w:pPr>
        <w:spacing w:after="80" w:line="280" w:lineRule="auto"/>
        <w:ind w:left="720" w:hanging="360"/>
        <w:numPr>
          <w:ilvl w:val="0"/>
          <w:numId w:val="10"/>
        </w:numPr>
        <w:widowControl w:val="1"/>
      </w:pPr>
      <w:r>
        <w:rPr>
          <w:rFonts w:ascii="Arial" w:hAnsi="Arial" w:eastAsia="Arial"/>
          <w:color w:val="142536"/>
          <w:sz w:val="21"/>
        </w:rPr>
        <w:t>Her kritik rol için vekâlet, görev ayrılığı, yetkinlik ve raporlama hattı tanımlanacaktır.</w:t>
      </w:r>
    </w:p>
    <w:p>
      <w:pPr>
        <w:spacing w:after="80" w:line="280" w:lineRule="auto"/>
        <w:ind w:left="720" w:hanging="360"/>
        <w:numPr>
          <w:ilvl w:val="0"/>
          <w:numId w:val="10"/>
        </w:numPr>
        <w:widowControl w:val="1"/>
      </w:pPr>
      <w:r>
        <w:rPr>
          <w:rFonts w:ascii="Arial" w:hAnsi="Arial" w:eastAsia="Arial"/>
          <w:color w:val="142536"/>
          <w:sz w:val="21"/>
        </w:rPr>
        <w:t>Günlük–haftalık–aylık–çeyreklik yönetim forumlarının sahipliği ve bilgi akışı organizasyona işlenecektir.</w:t>
      </w:r>
    </w:p>
    <w:p>
      <w:pPr>
        <w:spacing w:after="80" w:line="280" w:lineRule="auto"/>
        <w:ind w:left="720" w:hanging="360"/>
        <w:numPr>
          <w:ilvl w:val="0"/>
          <w:numId w:val="10"/>
        </w:numPr>
        <w:widowControl w:val="1"/>
      </w:pPr>
      <w:r>
        <w:rPr>
          <w:rFonts w:ascii="Arial" w:hAnsi="Arial" w:eastAsia="Arial"/>
          <w:color w:val="142536"/>
          <w:sz w:val="21"/>
        </w:rPr>
        <w:t>Kadro büyüklüğü, kontrol kapasitesi ve süreç riskine göre ölçeklenecek; kritik görevler tek kişiye bağımlı bırakılmayacaktır.</w:t>
      </w: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8F5F7"/>
            <w:tcBorders>
              <w:top w:val="single" w:sz="5" w:space="0" w:color="C7D7E2"/>
              <w:left w:val="single" w:sz="5" w:space="0" w:color="C7D7E2"/>
              <w:bottom w:val="single" w:sz="5" w:space="0" w:color="C7D7E2"/>
              <w:right w:val="single" w:sz="5" w:space="0" w:color="C7D7E2"/>
              <w:insideH w:val="single" w:sz="5" w:space="0" w:color="C7D7E2"/>
              <w:insideV w:val="single" w:sz="5" w:space="0" w:color="C7D7E2"/>
            </w:tcBorders>
            <w:vAlign w:val="center"/>
            <w:tcMar>
              <w:top w:w="125" w:type="dxa"/>
              <w:bottom w:w="125" w:type="dxa"/>
              <w:start w:w="180" w:type="dxa"/>
              <w:end w:w="180" w:type="dxa"/>
            </w:tcMar>
          </w:tcPr>
          <w:p>
            <w:pPr>
              <w:spacing w:after="40" w:line="264" w:lineRule="auto"/>
            </w:pPr>
            <w:r>
              <w:rPr>
                <w:rFonts w:ascii="Arial" w:hAnsi="Arial" w:eastAsia="Arial"/>
                <w:b/>
                <w:color w:val="197B96"/>
                <w:sz w:val="21"/>
              </w:rPr>
              <w:t>Bir sonraki kontrollü doküman</w:t>
            </w:r>
          </w:p>
          <w:p>
            <w:pPr>
              <w:spacing w:after="0" w:line="269" w:lineRule="auto"/>
            </w:pPr>
            <w:r>
              <w:rPr>
                <w:rFonts w:ascii="Arial" w:hAnsi="Arial" w:eastAsia="Arial"/>
                <w:color w:val="142536"/>
                <w:sz w:val="21"/>
              </w:rPr>
              <w:t>MAPA-CDD-002 Organization Design; bu belgede belirlenen süreç, karar, bağımsızlık ve yönetim ritmini görev–yetki–sorumluluk, organizasyon şeması, RACI ve vekâlet mimarisiyle somutlaştıracaktır.</w:t>
            </w:r>
          </w:p>
        </w:tc>
      </w:tr>
    </w:tbl>
    <w:p>
      <w:pPr>
        <w:spacing w:after="20"/>
        <w:widowControl w:val="1"/>
      </w:pPr>
    </w:p>
    <w:p>
      <w:pPr>
        <w:pStyle w:val="Heading1"/>
        <w:keepNext/>
        <w:pageBreakBefore/>
        <w:widowControl w:val="1"/>
      </w:pPr>
      <w:r>
        <w:rPr>
          <w:rFonts w:ascii="Arial" w:hAnsi="Arial" w:eastAsia="Arial"/>
          <w:b/>
          <w:color w:val="197B96"/>
          <w:sz w:val="34"/>
        </w:rPr>
        <w:t>Ek A. Terimler ve kısaltmalar</w:t>
      </w:r>
    </w:p>
    <w:tbl>
      <w:tblPr>
        <w:tblStyle w:val="TableGrid"/>
        <w:tblW w:type="dxa" w:w="9630"/>
        <w:jc w:val="left"/>
        <w:tblLayout w:type="fixed"/>
        <w:tblLook w:firstColumn="1" w:firstRow="1" w:lastColumn="0" w:lastRow="0" w:noHBand="0" w:noVBand="1" w:val="04A0"/>
        <w:tblInd w:type="dxa" w:w="120"/>
      </w:tblPr>
      <w:tblGrid>
        <w:gridCol w:w="2200"/>
        <w:gridCol w:w="7430"/>
      </w:tblGrid>
      <w:tr>
        <w:trPr>
          <w:tblHeader w:val="true"/>
          <w:cantSplit w:val="1"/>
        </w:trPr>
        <w:tc>
          <w:tcPr>
            <w:tcW w:type="dxa" w:w="22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Terim</w:t>
            </w:r>
          </w:p>
        </w:tc>
        <w:tc>
          <w:tcPr>
            <w:tcW w:type="dxa" w:w="74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Tanım</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ALCOA+</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Attributable, Legible, Contemporaneous, Original, Accurate; Complete, Consistent, Enduring, Available kayıt ilkeleri.</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ASL</w:t>
            </w:r>
          </w:p>
        </w:tc>
        <w:tc>
          <w:tcPr>
            <w:tcW w:type="dxa" w:w="7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Approved Supplier List — onaylı tedarikçi listesi.</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CAPA</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Corrective and Preventive Action — kök nedene bağlı düzeltici/önleyici sistem aksiyonu.</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CDD</w:t>
            </w:r>
          </w:p>
        </w:tc>
        <w:tc>
          <w:tcPr>
            <w:tcW w:type="dxa" w:w="7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Company Design Document — kurumsal tasarım belgesi.</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CoA</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Certificate of Analysis — onaylı test sonuçlarına dayalı analiz sertifikası.</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DoA</w:t>
            </w:r>
          </w:p>
        </w:tc>
        <w:tc>
          <w:tcPr>
            <w:tcW w:type="dxa" w:w="7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Delegation of Authority — yetki devri ve karar limitleri.</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HOLD</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Kullanım/işlem/sevkiyatın karar verilene kadar bloke edildiği kontrollü statü.</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IMS</w:t>
            </w:r>
          </w:p>
        </w:tc>
        <w:tc>
          <w:tcPr>
            <w:tcW w:type="dxa" w:w="7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Integrated Management System — entegre yönetim sistemi.</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IPC</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In-Process Control — proses içi kontrol.</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MOC</w:t>
            </w:r>
          </w:p>
        </w:tc>
        <w:tc>
          <w:tcPr>
            <w:tcW w:type="dxa" w:w="7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Management of Change — değişiklik yönetimi.</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NCR</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Nonconformity Report — uygunsuzluk kaydı ve yönetim süreci.</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OOS</w:t>
            </w:r>
          </w:p>
        </w:tc>
        <w:tc>
          <w:tcPr>
            <w:tcW w:type="dxa" w:w="7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Out of Specification — spesifikasyon dışı laboratuvar veya ürün sonucu.</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RACI</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Responsible, Accountable, Consulted, Informed görev ilişkisi matrisi.</w:t>
            </w:r>
          </w:p>
        </w:tc>
      </w:tr>
      <w:tr>
        <w:trPr>
          <w:cantSplit w:val="1"/>
        </w:trPr>
        <w:tc>
          <w:tcPr>
            <w:tcW w:type="dxa" w:w="2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SQDCP+E</w:t>
            </w:r>
          </w:p>
        </w:tc>
        <w:tc>
          <w:tcPr>
            <w:tcW w:type="dxa" w:w="74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Safety, Quality, Delivery, Cost, People + Environment performans çerçevesi.</w:t>
            </w:r>
          </w:p>
        </w:tc>
      </w:tr>
      <w:tr>
        <w:trPr>
          <w:cantSplit w:val="1"/>
        </w:trPr>
        <w:tc>
          <w:tcPr>
            <w:tcW w:type="dxa" w:w="2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YGG</w:t>
            </w:r>
          </w:p>
        </w:tc>
        <w:tc>
          <w:tcPr>
            <w:tcW w:type="dxa" w:w="74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Yönetimin Gözden Geçirmesi.</w:t>
            </w:r>
          </w:p>
        </w:tc>
      </w:tr>
    </w:tbl>
    <w:p>
      <w:pPr>
        <w:spacing w:after="40"/>
        <w:widowControl w:val="1"/>
      </w:pPr>
    </w:p>
    <w:p>
      <w:pPr>
        <w:pStyle w:val="Heading1"/>
        <w:keepNext/>
        <w:pageBreakBefore w:val="0"/>
        <w:widowControl w:val="1"/>
      </w:pPr>
      <w:r>
        <w:rPr>
          <w:rFonts w:ascii="Arial" w:hAnsi="Arial" w:eastAsia="Arial"/>
          <w:b/>
          <w:color w:val="197B96"/>
          <w:sz w:val="34"/>
        </w:rPr>
        <w:t>Ek B. Normatif ve rehber referanslar</w:t>
      </w:r>
    </w:p>
    <w:p>
      <w:pPr>
        <w:spacing w:after="100"/>
        <w:ind w:left="720" w:hanging="360"/>
        <w:numPr>
          <w:ilvl w:val="0"/>
          <w:numId w:val="10"/>
        </w:numPr>
        <w:widowControl w:val="1"/>
      </w:pPr>
      <w:hyperlink r:id="rId12">
        <w:r>
          <w:rPr>
            <w:color w:val="2E74B5"/>
            <w:u w:val="single"/>
          </w:rPr>
          <w:t>ISO 9001:2015/Amd 1:2024 — Quality management systems</w:t>
        </w:r>
      </w:hyperlink>
    </w:p>
    <w:p>
      <w:pPr>
        <w:spacing w:after="100"/>
        <w:ind w:left="720" w:hanging="360"/>
        <w:numPr>
          <w:ilvl w:val="0"/>
          <w:numId w:val="10"/>
        </w:numPr>
        <w:widowControl w:val="1"/>
      </w:pPr>
      <w:hyperlink r:id="rId13">
        <w:r>
          <w:rPr>
            <w:color w:val="2E74B5"/>
            <w:u w:val="single"/>
          </w:rPr>
          <w:t>ISO 9001 revision / 2026 publication status</w:t>
        </w:r>
      </w:hyperlink>
    </w:p>
    <w:p>
      <w:pPr>
        <w:spacing w:after="100"/>
        <w:ind w:left="720" w:hanging="360"/>
        <w:numPr>
          <w:ilvl w:val="0"/>
          <w:numId w:val="10"/>
        </w:numPr>
        <w:widowControl w:val="1"/>
      </w:pPr>
      <w:hyperlink r:id="rId14">
        <w:r>
          <w:rPr>
            <w:color w:val="2E74B5"/>
            <w:u w:val="single"/>
          </w:rPr>
          <w:t>ISO 14001:2026 — Environmental management systems</w:t>
        </w:r>
      </w:hyperlink>
    </w:p>
    <w:p>
      <w:pPr>
        <w:spacing w:after="100"/>
        <w:ind w:left="720" w:hanging="360"/>
        <w:numPr>
          <w:ilvl w:val="0"/>
          <w:numId w:val="10"/>
        </w:numPr>
        <w:widowControl w:val="1"/>
      </w:pPr>
      <w:hyperlink r:id="rId15">
        <w:r>
          <w:rPr>
            <w:color w:val="2E74B5"/>
            <w:u w:val="single"/>
          </w:rPr>
          <w:t>ISO 45001:2018/Amd 1:2024 — Occupational health and safety management systems</w:t>
        </w:r>
      </w:hyperlink>
    </w:p>
    <w:p>
      <w:pPr>
        <w:spacing w:after="100"/>
        <w:ind w:left="720" w:hanging="360"/>
        <w:numPr>
          <w:ilvl w:val="0"/>
          <w:numId w:val="10"/>
        </w:numPr>
        <w:widowControl w:val="1"/>
      </w:pPr>
      <w:hyperlink r:id="rId16">
        <w:r>
          <w:rPr>
            <w:color w:val="2E74B5"/>
            <w:u w:val="single"/>
          </w:rPr>
          <w:t>ISO 10012:2026 — Requirements for measurement management systems</w:t>
        </w:r>
      </w:hyperlink>
    </w:p>
    <w:p>
      <w:pPr>
        <w:spacing w:after="100"/>
        <w:ind w:left="720" w:hanging="360"/>
        <w:numPr>
          <w:ilvl w:val="0"/>
          <w:numId w:val="10"/>
        </w:numPr>
        <w:widowControl w:val="1"/>
      </w:pPr>
      <w:hyperlink r:id="rId17">
        <w:r>
          <w:rPr>
            <w:color w:val="2E74B5"/>
            <w:u w:val="single"/>
          </w:rPr>
          <w:t>ISO/IEC 17025:2017 — Competence of testing and calibration laboratories</w:t>
        </w:r>
      </w:hyperlink>
    </w:p>
    <w:p>
      <w:pPr>
        <w:spacing w:after="100"/>
        <w:ind w:left="720" w:hanging="360"/>
        <w:numPr>
          <w:ilvl w:val="0"/>
          <w:numId w:val="10"/>
        </w:numPr>
        <w:widowControl w:val="1"/>
      </w:pPr>
      <w:hyperlink r:id="rId18">
        <w:r>
          <w:rPr>
            <w:color w:val="2E74B5"/>
            <w:u w:val="single"/>
          </w:rPr>
          <w:t>ISO 19011:2026 — Guidelines for auditing management systems</w:t>
        </w:r>
      </w:hyperlink>
    </w:p>
    <w:p>
      <w:pPr>
        <w:spacing w:after="100"/>
        <w:ind w:left="720" w:hanging="360"/>
        <w:numPr>
          <w:ilvl w:val="0"/>
          <w:numId w:val="10"/>
        </w:numPr>
        <w:widowControl w:val="1"/>
      </w:pPr>
      <w:hyperlink r:id="rId19">
        <w:r>
          <w:rPr>
            <w:color w:val="2E74B5"/>
            <w:u w:val="single"/>
          </w:rPr>
          <w:t>ISO 31000:2018 — Risk management guidelines</w:t>
        </w:r>
      </w:hyperlink>
    </w:p>
    <w:p>
      <w:pPr>
        <w:spacing w:after="120"/>
        <w:widowControl w:val="1"/>
      </w:pPr>
      <w:r>
        <w:rPr>
          <w:rFonts w:ascii="Arial" w:hAnsi="Arial" w:eastAsia="Arial"/>
          <w:color w:val="142536"/>
          <w:sz w:val="21"/>
        </w:rPr>
        <w:t>Uygulanabilir Cezayir mevzuatı, müşteri/kontrat şartları, ürün teknik standardları (ör. EN 934 ailesi), kimyasal güvenlik, çevre, iş sağlığı-güvenliği, atık ve taşıma yükümlülükleri ayrı kontrollü Yasal ve Diğer Şartlar Register’ında güncel tutulur.</w:t>
      </w:r>
    </w:p>
    <w:p>
      <w:pPr>
        <w:pStyle w:val="Heading1"/>
        <w:keepNext/>
        <w:pageBreakBefore w:val="0"/>
        <w:widowControl w:val="1"/>
      </w:pPr>
      <w:r>
        <w:rPr>
          <w:rFonts w:ascii="Arial" w:hAnsi="Arial" w:eastAsia="Arial"/>
          <w:b/>
          <w:color w:val="197B96"/>
          <w:sz w:val="34"/>
        </w:rPr>
        <w:t>Ek C. Yayın öncesi uygunluk kontrolü</w:t>
      </w:r>
    </w:p>
    <w:tbl>
      <w:tblPr>
        <w:tblStyle w:val="TableGrid"/>
        <w:tblW w:type="dxa" w:w="9630"/>
        <w:jc w:val="left"/>
        <w:tblLayout w:type="fixed"/>
        <w:tblLook w:firstColumn="1" w:firstRow="1" w:lastColumn="0" w:lastRow="0" w:noHBand="0" w:noVBand="1" w:val="04A0"/>
        <w:tblInd w:type="dxa" w:w="120"/>
      </w:tblPr>
      <w:tblGrid>
        <w:gridCol w:w="2100"/>
        <w:gridCol w:w="5200"/>
        <w:gridCol w:w="2330"/>
      </w:tblGrid>
      <w:tr>
        <w:trPr>
          <w:tblHeader w:val="true"/>
          <w:cantSplit w:val="1"/>
        </w:trPr>
        <w:tc>
          <w:tcPr>
            <w:tcW w:type="dxa" w:w="21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Kontrol alanı</w:t>
            </w:r>
          </w:p>
        </w:tc>
        <w:tc>
          <w:tcPr>
            <w:tcW w:type="dxa" w:w="520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Kabul kriteri</w:t>
            </w:r>
          </w:p>
        </w:tc>
        <w:tc>
          <w:tcPr>
            <w:tcW w:type="dxa" w:w="2330"/>
            <w:shd w:fill="183A59"/>
            <w:tcBorders>
              <w:top w:val="single" w:sz="6" w:space="0" w:color="0E253B"/>
              <w:left w:val="single" w:sz="6" w:space="0" w:color="0E253B"/>
              <w:bottom w:val="single" w:sz="6" w:space="0" w:color="0E253B"/>
              <w:right w:val="single" w:sz="6" w:space="0" w:color="0E253B"/>
              <w:insideH w:val="single" w:sz="6" w:space="0" w:color="0E253B"/>
              <w:insideV w:val="single" w:sz="6" w:space="0" w:color="0E253B"/>
            </w:tcBorders>
            <w:vAlign w:val="center"/>
            <w:tcMar>
              <w:top w:w="85" w:type="dxa"/>
              <w:bottom w:w="85" w:type="dxa"/>
              <w:start w:w="120" w:type="dxa"/>
              <w:end w:w="120" w:type="dxa"/>
            </w:tcMar>
          </w:tcPr>
          <w:p>
            <w:pPr>
              <w:spacing w:after="0" w:line="240" w:lineRule="auto"/>
              <w:jc w:val="left"/>
            </w:pPr>
            <w:r>
              <w:rPr>
                <w:rFonts w:ascii="Arial" w:hAnsi="Arial" w:eastAsia="Arial"/>
                <w:b/>
                <w:color w:val="FFFFFF"/>
                <w:sz w:val="17"/>
              </w:rPr>
              <w:t>Sonuç / kanıt</w:t>
            </w:r>
          </w:p>
        </w:tc>
      </w:tr>
      <w:tr>
        <w:trPr>
          <w:cantSplit w:val="1"/>
        </w:trPr>
        <w:tc>
          <w:tcPr>
            <w:tcW w:type="dxa" w:w="2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Belge kimliği</w:t>
            </w:r>
          </w:p>
        </w:tc>
        <w:tc>
          <w:tcPr>
            <w:tcW w:type="dxa" w:w="5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Kod, başlık, revizyon, tarih ve sayfa kontrolü tamam</w:t>
            </w:r>
          </w:p>
        </w:tc>
        <w:tc>
          <w:tcPr>
            <w:tcW w:type="dxa" w:w="23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r>
        <w:trPr>
          <w:cantSplit w:val="1"/>
        </w:trPr>
        <w:tc>
          <w:tcPr>
            <w:tcW w:type="dxa" w:w="2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Onay</w:t>
            </w:r>
          </w:p>
        </w:tc>
        <w:tc>
          <w:tcPr>
            <w:tcW w:type="dxa" w:w="5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Hazırlayan, kontrol eden ve onaylayan yetkileri doğrulandı</w:t>
            </w:r>
          </w:p>
        </w:tc>
        <w:tc>
          <w:tcPr>
            <w:tcW w:type="dxa" w:w="23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r>
        <w:trPr>
          <w:cantSplit w:val="1"/>
        </w:trPr>
        <w:tc>
          <w:tcPr>
            <w:tcW w:type="dxa" w:w="2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Uyum</w:t>
            </w:r>
          </w:p>
        </w:tc>
        <w:tc>
          <w:tcPr>
            <w:tcW w:type="dxa" w:w="5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MAPA-CDD-002, IMS Manual ve süreç paketleriyle çelişki review edildi</w:t>
            </w:r>
          </w:p>
        </w:tc>
        <w:tc>
          <w:tcPr>
            <w:tcW w:type="dxa" w:w="23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r>
        <w:trPr>
          <w:cantSplit w:val="1"/>
        </w:trPr>
        <w:tc>
          <w:tcPr>
            <w:tcW w:type="dxa" w:w="2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Standartlar</w:t>
            </w:r>
          </w:p>
        </w:tc>
        <w:tc>
          <w:tcPr>
            <w:tcW w:type="dxa" w:w="5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Uygulanabilir baskılar ve geçiş statüsü kontrol edildi</w:t>
            </w:r>
          </w:p>
        </w:tc>
        <w:tc>
          <w:tcPr>
            <w:tcW w:type="dxa" w:w="23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r>
        <w:trPr>
          <w:cantSplit w:val="1"/>
        </w:trPr>
        <w:tc>
          <w:tcPr>
            <w:tcW w:type="dxa" w:w="2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Organizasyon</w:t>
            </w:r>
          </w:p>
        </w:tc>
        <w:tc>
          <w:tcPr>
            <w:tcW w:type="dxa" w:w="5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İsim bazlı atama yok; roller MAPA-CDD-002’ye doğru yönlendirildi</w:t>
            </w:r>
          </w:p>
        </w:tc>
        <w:tc>
          <w:tcPr>
            <w:tcW w:type="dxa" w:w="23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r>
        <w:trPr>
          <w:cantSplit w:val="1"/>
        </w:trPr>
        <w:tc>
          <w:tcPr>
            <w:tcW w:type="dxa" w:w="2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Risk</w:t>
            </w:r>
          </w:p>
        </w:tc>
        <w:tc>
          <w:tcPr>
            <w:tcW w:type="dxa" w:w="5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Bağımsızlık, stop-work ve değişmez kurallar korunuyor</w:t>
            </w:r>
          </w:p>
        </w:tc>
        <w:tc>
          <w:tcPr>
            <w:tcW w:type="dxa" w:w="23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r>
        <w:trPr>
          <w:cantSplit w:val="1"/>
        </w:trPr>
        <w:tc>
          <w:tcPr>
            <w:tcW w:type="dxa" w:w="21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Kayıt</w:t>
            </w:r>
          </w:p>
        </w:tc>
        <w:tc>
          <w:tcPr>
            <w:tcW w:type="dxa" w:w="520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Dağıtım, arşiv ve eski revizyon kontrolü tanımlı</w:t>
            </w:r>
          </w:p>
        </w:tc>
        <w:tc>
          <w:tcPr>
            <w:tcW w:type="dxa" w:w="2330"/>
            <w:shd w:fill="FFFFFF"/>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r>
        <w:trPr>
          <w:cantSplit w:val="1"/>
        </w:trPr>
        <w:tc>
          <w:tcPr>
            <w:tcW w:type="dxa" w:w="21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color w:val="142536"/>
                <w:sz w:val="17"/>
              </w:rPr>
              <w:t>İletişim</w:t>
            </w:r>
          </w:p>
        </w:tc>
        <w:tc>
          <w:tcPr>
            <w:tcW w:type="dxa" w:w="520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t>Yönetim ve süreç sahiplerine yayın/briefing planı hazır</w:t>
            </w:r>
          </w:p>
        </w:tc>
        <w:tc>
          <w:tcPr>
            <w:tcW w:type="dxa" w:w="2330"/>
            <w:shd w:fill="F2F4F7"/>
            <w:tcBorders>
              <w:top w:val="single" w:sz="5" w:space="0" w:color="D0D5DD"/>
              <w:left w:val="single" w:sz="5" w:space="0" w:color="D0D5DD"/>
              <w:bottom w:val="single" w:sz="5" w:space="0" w:color="D0D5DD"/>
              <w:right w:val="single" w:sz="5" w:space="0" w:color="D0D5DD"/>
              <w:insideH w:val="single" w:sz="5" w:space="0" w:color="D0D5DD"/>
              <w:insideV w:val="single" w:sz="5" w:space="0" w:color="D0D5DD"/>
            </w:tcBorders>
            <w:vAlign w:val="center"/>
            <w:tcMar>
              <w:top w:w="85" w:type="dxa"/>
              <w:bottom w:w="85" w:type="dxa"/>
              <w:start w:w="120" w:type="dxa"/>
              <w:end w:w="120" w:type="dxa"/>
            </w:tcMar>
          </w:tcPr>
          <w:p>
            <w:pPr>
              <w:spacing w:after="0" w:line="252" w:lineRule="auto"/>
            </w:pPr>
            <w:r>
              <w:rPr>
                <w:rFonts w:ascii="Arial" w:hAnsi="Arial" w:eastAsia="Arial"/>
                <w:b w:val="0"/>
                <w:color w:val="142536"/>
                <w:sz w:val="17"/>
              </w:rPr>
            </w:r>
          </w:p>
        </w:tc>
      </w:tr>
    </w:tbl>
    <w:p>
      <w:pPr>
        <w:spacing w:after="40"/>
        <w:widowControl w:val="1"/>
      </w:pPr>
    </w:p>
    <w:tbl>
      <w:tblPr>
        <w:tblW w:type="dxa" w:w="9570"/>
        <w:jc w:val="left"/>
        <w:tblLayout w:type="fixed"/>
        <w:tblLook w:firstColumn="1" w:firstRow="1" w:lastColumn="0" w:lastRow="0" w:noHBand="0" w:noVBand="1" w:val="04A0"/>
        <w:tblInd w:type="dxa" w:w="180"/>
      </w:tblPr>
      <w:tblGrid>
        <w:gridCol w:w="9570"/>
      </w:tblGrid>
      <w:tr>
        <w:trPr>
          <w:cantSplit w:val="1"/>
        </w:trPr>
        <w:tc>
          <w:tcPr>
            <w:tcW w:type="dxa" w:w="9570"/>
            <w:shd w:fill="E8F5F7"/>
            <w:tcBorders>
              <w:top w:val="single" w:sz="5" w:space="0" w:color="C7D7E2"/>
              <w:left w:val="single" w:sz="5" w:space="0" w:color="C7D7E2"/>
              <w:bottom w:val="single" w:sz="5" w:space="0" w:color="C7D7E2"/>
              <w:right w:val="single" w:sz="5" w:space="0" w:color="C7D7E2"/>
              <w:insideH w:val="single" w:sz="5" w:space="0" w:color="C7D7E2"/>
              <w:insideV w:val="single" w:sz="5" w:space="0" w:color="C7D7E2"/>
            </w:tcBorders>
            <w:vAlign w:val="center"/>
            <w:tcMar>
              <w:top w:w="125" w:type="dxa"/>
              <w:bottom w:w="125" w:type="dxa"/>
              <w:start w:w="180" w:type="dxa"/>
              <w:end w:w="180" w:type="dxa"/>
            </w:tcMar>
          </w:tcPr>
          <w:p>
            <w:pPr>
              <w:spacing w:after="40" w:line="264" w:lineRule="auto"/>
            </w:pPr>
            <w:r>
              <w:rPr>
                <w:rFonts w:ascii="Arial" w:hAnsi="Arial" w:eastAsia="Arial"/>
                <w:b/>
                <w:color w:val="197B96"/>
                <w:sz w:val="21"/>
              </w:rPr>
              <w:t>Doküman sonu</w:t>
            </w:r>
          </w:p>
          <w:p>
            <w:pPr>
              <w:spacing w:after="0" w:line="269" w:lineRule="auto"/>
            </w:pPr>
            <w:r>
              <w:rPr>
                <w:rFonts w:ascii="Arial" w:hAnsi="Arial" w:eastAsia="Arial"/>
                <w:color w:val="142536"/>
                <w:sz w:val="21"/>
              </w:rPr>
              <w:t>MAPA-CDD-001, yönetim onayı ve yürürlük kaydı tamamlandıktan sonra SARL MAPA ALGÉRIE kurumsal tasarımının kontrollü referansıdır. Bir sonraki doküman: MAPA-CDD-002 Organization Design.</w:t>
            </w:r>
          </w:p>
        </w:tc>
      </w:tr>
    </w:tbl>
    <w:p>
      <w:pPr>
        <w:spacing w:after="20"/>
        <w:widowControl w:val="1"/>
      </w:pPr>
    </w:p>
    <w:sectPr w:rsidR="00FC693F" w:rsidRPr="0006063C" w:rsidSect="00034616">
      <w:headerReference w:type="default" r:id="rId9"/>
      <w:footerReference w:type="default" r:id="rId10"/>
      <w:headerReference w:type="first" r:id="rId20"/>
      <w:footerReference w:type="first" r:id="rId21"/>
      <w:pgSz w:w="11906" w:h="16838"/>
      <w:pgMar w:top="1049" w:right="1049" w:bottom="935" w:left="1049"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8" w:val="right"/>
      </w:tabs>
      <w:spacing w:before="80"/>
    </w:pPr>
    <w:r>
      <w:rPr>
        <w:rFonts w:ascii="Arial" w:hAnsi="Arial" w:eastAsia="Arial"/>
        <w:color w:val="667085"/>
        <w:sz w:val="16"/>
      </w:rPr>
      <w:t>Kontrollü doküman • Rev. 0 • 01.08.2026</w:t>
    </w:r>
    <w:r>
      <w:rPr>
        <w:rFonts w:ascii="Arial" w:hAnsi="Arial" w:eastAsia="Arial"/>
        <w:color w:val="667085"/>
        <w:sz w:val="16"/>
      </w:rPr>
      <w:tab/>
    </w:r>
    <w:r>
      <w:rPr>
        <w:rFonts w:ascii="Arial" w:hAnsi="Arial" w:eastAsia="Arial"/>
        <w:b/>
        <w:color w:val="142536"/>
        <w:sz w:val="17"/>
      </w:rPr>
      <w:t>1</w:t>
    </w:r>
    <w:r>
      <w:rPr>
        <w:rFonts w:ascii="Arial" w:hAnsi="Arial" w:eastAsia="Arial"/>
        <w:color w:val="667085"/>
        <w:sz w:val="16"/>
      </w:rPr>
      <w:t xml:space="preserve"> / </w:t>
    </w:r>
    <w:r>
      <w:rPr>
        <w:rFonts w:ascii="Arial" w:hAnsi="Arial" w:eastAsia="Arial"/>
        <w:color w:val="667085"/>
        <w:sz w:val="16"/>
      </w:rPr>
      <w:t>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08" w:val="right"/>
      </w:tabs>
      <w:spacing w:after="80"/>
      <w:pBdr>
        <w:bottom w:val="single" w:sz="4" w:space="3" w:color="D8E0E7"/>
      </w:pBdr>
    </w:pPr>
    <w:r>
      <w:rPr>
        <w:rFonts w:ascii="Arial" w:hAnsi="Arial" w:eastAsia="Arial"/>
        <w:color w:val="667085"/>
        <w:sz w:val="17"/>
      </w:rPr>
      <w:t>SARL MAPA ALGÉRIE | Corporate Governance Package</w:t>
    </w:r>
    <w:r>
      <w:rPr>
        <w:rFonts w:ascii="Arial" w:hAnsi="Arial" w:eastAsia="Arial"/>
        <w:b/>
        <w:color w:val="667085"/>
        <w:sz w:val="17"/>
      </w:rPr>
      <w:tab/>
      <w:t>MAPA-CDD-001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8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color w:val="1425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197B96"/>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83A5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83A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E25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RMIXCaption">
    <w:name w:val="KRMIX Caption"/>
    <w:pPr>
      <w:spacing w:before="80" w:after="120"/>
    </w:pPr>
    <w:rPr>
      <w:rFonts w:ascii="Arial" w:hAnsi="Arial"/>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iso.org/standard/62085.html" TargetMode="External"/><Relationship Id="rId13" Type="http://schemas.openxmlformats.org/officeDocument/2006/relationships/hyperlink" Target="https://www.iso.org/standard/88464.html" TargetMode="External"/><Relationship Id="rId14" Type="http://schemas.openxmlformats.org/officeDocument/2006/relationships/hyperlink" Target="https://www.iso.org/standard/14001" TargetMode="External"/><Relationship Id="rId15" Type="http://schemas.openxmlformats.org/officeDocument/2006/relationships/hyperlink" Target="https://www.iso.org/standard/88428.html" TargetMode="External"/><Relationship Id="rId16" Type="http://schemas.openxmlformats.org/officeDocument/2006/relationships/hyperlink" Target="https://www.iso.org/standard/10012" TargetMode="External"/><Relationship Id="rId17" Type="http://schemas.openxmlformats.org/officeDocument/2006/relationships/hyperlink" Target="https://www.iso.org/standard/66912.html" TargetMode="External"/><Relationship Id="rId18" Type="http://schemas.openxmlformats.org/officeDocument/2006/relationships/hyperlink" Target="https://www.iso.org/standard/19011" TargetMode="External"/><Relationship Id="rId19" Type="http://schemas.openxmlformats.org/officeDocument/2006/relationships/hyperlink" Target="https://www.iso.org/standard/65694.html" TargetMode="Externa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MAPA-CDD-001_Company_Design_Document_R0</dc:title>
  <dc:subject>SARL MAPA ALGÉRIE Integrated Management System - Controlled Draft Rev.0</dc:subject>
  <dc:creator>SARL MAPA ALGÉRIE</dc:creator>
  <cp:keywords>ISO 9001; ISO 14001; ISO 45001; MAPA IMS; controlled document</cp:keywords>
  <dc:description>Reissued as clean Rev.0 under SARL MAPA ALGÉRIE IMS architecture.</dc:description>
  <cp:lastModifiedBy>KRMIX</cp:lastModifiedBy>
  <cp:revision>1</cp:revision>
  <dcterms:created xsi:type="dcterms:W3CDTF">2013-12-23T23:15:00Z</dcterms:created>
  <dcterms:modified xsi:type="dcterms:W3CDTF">2013-12-23T23:15:00Z</dcterms:modified>
  <cp:category/>
</cp:coreProperties>
</file>