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widowControl w:val="1"/>
      </w:pPr>
      <w:r>
        <w:rPr>
          <w:rFonts w:ascii="Arial" w:hAnsi="Arial" w:eastAsia="Arial"/>
          <w:b/>
          <w:color w:val="183A59"/>
          <w:sz w:val="74"/>
        </w:rPr>
        <w:t>SARL MAPA ALGÉRIE</w:t>
      </w:r>
    </w:p>
    <w:p>
      <w:pPr>
        <w:spacing w:after="320"/>
        <w:pBdr>
          <w:bottom w:val="single" w:sz="10" w:space="8" w:color="2E74B5"/>
        </w:pBdr>
        <w:widowControl w:val="1"/>
      </w:pPr>
      <w:r>
        <w:rPr>
          <w:rFonts w:ascii="Arial" w:hAnsi="Arial" w:eastAsia="Arial"/>
          <w:b/>
          <w:color w:val="197B96"/>
          <w:sz w:val="22"/>
        </w:rPr>
        <w:t>CORPORATE GOVERNANCE PACKAGE</w:t>
      </w:r>
    </w:p>
    <w:p>
      <w:pPr>
        <w:spacing w:before="560" w:after="80"/>
        <w:widowControl w:val="1"/>
      </w:pPr>
      <w:r>
        <w:rPr>
          <w:rFonts w:ascii="Arial" w:hAnsi="Arial" w:eastAsia="Arial"/>
          <w:b/>
          <w:color w:val="197B96"/>
          <w:sz w:val="24"/>
        </w:rPr>
        <w:t>MAPA-CDD-002</w:t>
      </w:r>
    </w:p>
    <w:p>
      <w:pPr>
        <w:spacing w:after="80"/>
        <w:widowControl w:val="1"/>
      </w:pPr>
      <w:r>
        <w:rPr>
          <w:rFonts w:ascii="Arial" w:hAnsi="Arial" w:eastAsia="Arial"/>
          <w:b/>
          <w:color w:val="0E253B"/>
          <w:sz w:val="56"/>
        </w:rPr>
        <w:t>Organization Design Document</w:t>
      </w:r>
    </w:p>
    <w:p>
      <w:pPr>
        <w:spacing w:after="360"/>
        <w:widowControl w:val="1"/>
      </w:pPr>
      <w:r>
        <w:rPr>
          <w:rFonts w:ascii="Arial" w:hAnsi="Arial" w:eastAsia="Arial"/>
          <w:b/>
          <w:color w:val="197B96"/>
          <w:sz w:val="34"/>
        </w:rPr>
        <w:t>Organizasyon Tasarım Belgesi</w:t>
      </w:r>
    </w:p>
    <w:p>
      <w:pPr>
        <w:spacing w:after="440"/>
        <w:widowControl w:val="1"/>
      </w:pPr>
      <w:r>
        <w:rPr>
          <w:rFonts w:ascii="Arial" w:hAnsi="Arial" w:eastAsia="Arial"/>
          <w:i/>
          <w:color w:val="667085"/>
          <w:sz w:val="24"/>
        </w:rPr>
        <w:t>Süreç sahipliğini, bağımsız güvenceyi ve karar haklarını rol–yetki–sorumluluk mimarisine dönüştüren kurumsal işletim modeli</w:t>
      </w:r>
    </w:p>
    <w:tbl>
      <w:tblPr>
        <w:tblStyle w:val="TableGrid"/>
        <w:tblW w:type="dxa" w:w="963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930"/>
      </w:tblGrid>
      <w:tr>
        <w:trPr>
          <w:tblHeader w:val="true"/>
          <w:cantSplit w:val="1"/>
        </w:trPr>
        <w:tc>
          <w:tcPr>
            <w:tcW w:type="dxa" w:w="270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Doküman</w:t>
            </w:r>
          </w:p>
        </w:tc>
        <w:tc>
          <w:tcPr>
            <w:tcW w:type="dxa" w:w="693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Kontrollü değer</w:t>
            </w:r>
          </w:p>
        </w:tc>
      </w:tr>
      <w:tr>
        <w:trPr>
          <w:cantSplit w:val="1"/>
        </w:trPr>
        <w:tc>
          <w:tcPr>
            <w:tcW w:type="dxa" w:w="27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9"/>
              </w:rPr>
              <w:t>Kod</w:t>
            </w:r>
          </w:p>
        </w:tc>
        <w:tc>
          <w:tcPr>
            <w:tcW w:type="dxa" w:w="693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9"/>
              </w:rPr>
              <w:t>MAPA-CDD-002</w:t>
            </w:r>
          </w:p>
        </w:tc>
      </w:tr>
      <w:tr>
        <w:trPr>
          <w:cantSplit w:val="1"/>
        </w:trPr>
        <w:tc>
          <w:tcPr>
            <w:tcW w:type="dxa" w:w="27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9"/>
              </w:rPr>
              <w:t>Revizyon / yürürlük tarihi</w:t>
            </w:r>
          </w:p>
        </w:tc>
        <w:tc>
          <w:tcPr>
            <w:tcW w:type="dxa" w:w="693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9"/>
              </w:rPr>
              <w:t>Rev. 0 / Yönetim onayı sonrası</w:t>
            </w:r>
          </w:p>
        </w:tc>
      </w:tr>
      <w:tr>
        <w:trPr>
          <w:cantSplit w:val="1"/>
        </w:trPr>
        <w:tc>
          <w:tcPr>
            <w:tcW w:type="dxa" w:w="27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9"/>
              </w:rPr>
              <w:t>Yayın tarihi</w:t>
            </w:r>
          </w:p>
        </w:tc>
        <w:tc>
          <w:tcPr>
            <w:tcW w:type="dxa" w:w="693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9"/>
              </w:rPr>
              <w:t>1 Ağustos 2026</w:t>
            </w:r>
          </w:p>
        </w:tc>
      </w:tr>
      <w:tr>
        <w:trPr>
          <w:cantSplit w:val="1"/>
        </w:trPr>
        <w:tc>
          <w:tcPr>
            <w:tcW w:type="dxa" w:w="27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9"/>
              </w:rPr>
              <w:t>Doküman sahibi</w:t>
            </w:r>
          </w:p>
        </w:tc>
        <w:tc>
          <w:tcPr>
            <w:tcW w:type="dxa" w:w="693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9"/>
              </w:rPr>
              <w:t>Genel Müdür</w:t>
            </w:r>
          </w:p>
        </w:tc>
      </w:tr>
      <w:tr>
        <w:trPr>
          <w:cantSplit w:val="1"/>
        </w:trPr>
        <w:tc>
          <w:tcPr>
            <w:tcW w:type="dxa" w:w="27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9"/>
              </w:rPr>
              <w:t>Sistem güvencesi</w:t>
            </w:r>
          </w:p>
        </w:tc>
        <w:tc>
          <w:tcPr>
            <w:tcW w:type="dxa" w:w="693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9"/>
              </w:rPr>
              <w:t>QA/IMS Yöneticisi</w:t>
            </w:r>
          </w:p>
        </w:tc>
      </w:tr>
      <w:tr>
        <w:trPr>
          <w:cantSplit w:val="1"/>
        </w:trPr>
        <w:tc>
          <w:tcPr>
            <w:tcW w:type="dxa" w:w="27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9"/>
              </w:rPr>
              <w:t>Onay makamı</w:t>
            </w:r>
          </w:p>
        </w:tc>
        <w:tc>
          <w:tcPr>
            <w:tcW w:type="dxa" w:w="693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9"/>
              </w:rPr>
              <w:t>Genel Müdür</w:t>
            </w:r>
          </w:p>
        </w:tc>
      </w:tr>
      <w:tr>
        <w:trPr>
          <w:cantSplit w:val="1"/>
        </w:trPr>
        <w:tc>
          <w:tcPr>
            <w:tcW w:type="dxa" w:w="27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9"/>
              </w:rPr>
              <w:t>Gizlilik / erişim</w:t>
            </w:r>
          </w:p>
        </w:tc>
        <w:tc>
          <w:tcPr>
            <w:tcW w:type="dxa" w:w="693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9"/>
              </w:rPr>
              <w:t>Kurum içi kontrollü doküman</w:t>
            </w:r>
          </w:p>
        </w:tc>
      </w:tr>
    </w:tbl>
    <w:p>
      <w:pPr>
        <w:spacing w:after="40"/>
        <w:widowControl w:val="1"/>
      </w:pPr>
    </w:p>
    <w:tbl>
      <w:tblPr>
        <w:tblW w:type="dxa" w:w="957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570"/>
      </w:tblGrid>
      <w:tr>
        <w:trPr>
          <w:cantSplit w:val="1"/>
        </w:trPr>
        <w:tc>
          <w:tcPr>
            <w:tcW w:type="dxa" w:w="9570"/>
            <w:shd w:fill="E8F5F7"/>
            <w:tcBorders>
              <w:top w:val="single" w:sz="5" w:space="0" w:color="B7D8DF"/>
              <w:left w:val="single" w:sz="5" w:space="0" w:color="B7D8DF"/>
              <w:bottom w:val="single" w:sz="5" w:space="0" w:color="B7D8DF"/>
              <w:right w:val="single" w:sz="5" w:space="0" w:color="B7D8DF"/>
              <w:insideH w:val="single" w:sz="5" w:space="0" w:color="B7D8DF"/>
              <w:insideV w:val="single" w:sz="5" w:space="0" w:color="B7D8DF"/>
            </w:tcBorders>
            <w:vAlign w:val="center"/>
            <w:tcMar>
              <w:top w:w="125" w:type="dxa"/>
              <w:bottom w:w="125" w:type="dxa"/>
              <w:start w:w="180" w:type="dxa"/>
              <w:end w:w="18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 w:eastAsia="Arial"/>
                <w:b/>
                <w:color w:val="197B96"/>
                <w:sz w:val="21"/>
              </w:rPr>
              <w:t>Organizasyon kararı</w:t>
            </w:r>
          </w:p>
          <w:p>
            <w:pPr>
              <w:spacing w:after="0" w:line="269" w:lineRule="auto"/>
            </w:pPr>
            <w:r>
              <w:rPr>
                <w:rFonts w:ascii="Arial" w:hAnsi="Arial" w:eastAsia="Arial"/>
                <w:color w:val="142536"/>
                <w:sz w:val="21"/>
              </w:rPr>
              <w:t>SARL MAPA ALGÉRIE organizasyonu departman kutularına göre değil; uçtan uca süreç sahipliği, bağımsız güvence, açık karar hakları ve vekâlet sürekliliği üzerine kurulacaktır.</w:t>
            </w:r>
          </w:p>
        </w:tc>
      </w:tr>
    </w:tbl>
    <w:p>
      <w:pPr>
        <w:spacing w:after="20"/>
        <w:widowControl w:val="1"/>
      </w:pPr>
    </w:p>
    <w:p>
      <w:pPr>
        <w:spacing w:before="240"/>
        <w:jc w:val="right"/>
        <w:widowControl w:val="1"/>
      </w:pPr>
      <w:r>
        <w:rPr>
          <w:rFonts w:ascii="Arial" w:hAnsi="Arial" w:eastAsia="Arial"/>
          <w:color w:val="667085"/>
          <w:sz w:val="18"/>
        </w:rPr>
        <w:t>Kontrollü taslak • Revizyon 0 • 01.08.2026</w:t>
      </w:r>
    </w:p>
    <w:p>
      <w:pPr>
        <w:widowControl w:val="1"/>
      </w:pPr>
      <w:r/>
    </w:p>
    <w:p>
      <w:pPr>
        <w:spacing w:after="100"/>
        <w:widowControl w:val="1"/>
      </w:pPr>
      <w:r>
        <w:rPr>
          <w:rFonts w:ascii="Arial" w:hAnsi="Arial" w:eastAsia="Arial"/>
          <w:b/>
          <w:color w:val="197B96"/>
          <w:sz w:val="20"/>
        </w:rPr>
        <w:t>CONTROLLED INFORMATION</w:t>
      </w:r>
    </w:p>
    <w:p>
      <w:pPr>
        <w:pStyle w:val="Heading1"/>
        <w:keepNext/>
        <w:pageBreakBefore w:val="0"/>
        <w:widowControl w:val="1"/>
      </w:pPr>
      <w:r>
        <w:rPr>
          <w:rFonts w:ascii="Arial" w:hAnsi="Arial" w:eastAsia="Arial"/>
          <w:b/>
          <w:color w:val="197B96"/>
          <w:sz w:val="34"/>
        </w:rPr>
        <w:t>0. Doküman kontrol ve onay</w:t>
      </w:r>
    </w:p>
    <w:p>
      <w:pPr>
        <w:spacing w:after="120"/>
        <w:widowControl w:val="1"/>
      </w:pPr>
      <w:r>
        <w:rPr>
          <w:rFonts w:ascii="Arial" w:hAnsi="Arial" w:eastAsia="Arial"/>
          <w:color w:val="142536"/>
          <w:sz w:val="21"/>
        </w:rPr>
        <w:t>MAPA-CDD-002, MAPA-CDD-001’de tanımlanan SARL MAPA ALGÉRIE kurumsal işletim modelini organizasyon yapısına dönüştürür. Onaylandığında organizasyon şeması, görev tanımları, RACI, yetki devri, vekâlet ve yetkinlik kayıtları için bağlayıcı tasarım girdisidir.</w:t>
      </w:r>
    </w:p>
    <w:p>
      <w:pPr>
        <w:pStyle w:val="Heading2"/>
        <w:keepNext/>
        <w:widowControl w:val="1"/>
      </w:pPr>
      <w:r>
        <w:rPr>
          <w:rFonts w:ascii="Arial" w:hAnsi="Arial" w:eastAsia="Arial"/>
          <w:b/>
          <w:color w:val="183A59"/>
          <w:sz w:val="25"/>
        </w:rPr>
        <w:t>0.1 Onay zinciri</w:t>
      </w:r>
    </w:p>
    <w:tbl>
      <w:tblPr>
        <w:tblW w:type="dxa" w:w="963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50"/>
        <w:gridCol w:w="4180"/>
        <w:gridCol w:w="1600"/>
        <w:gridCol w:w="2400"/>
      </w:tblGrid>
      <w:tr>
        <w:trPr>
          <w:cantSplit w:val="1"/>
        </w:trPr>
        <w:tc>
          <w:tcPr>
            <w:tcW w:type="dxa" w:w="145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tcMar>
              <w:top w:w="160" w:type="dxa"/>
              <w:bottom w:w="160" w:type="dxa"/>
              <w:start w:w="12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418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tcMar>
              <w:top w:w="160" w:type="dxa"/>
              <w:bottom w:w="160" w:type="dxa"/>
              <w:start w:w="12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Görev / Fonksiyon</w:t>
            </w:r>
          </w:p>
        </w:tc>
        <w:tc>
          <w:tcPr>
            <w:tcW w:type="dxa" w:w="160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tcMar>
              <w:top w:w="160" w:type="dxa"/>
              <w:bottom w:w="160" w:type="dxa"/>
              <w:start w:w="12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Tarih</w:t>
            </w:r>
          </w:p>
        </w:tc>
        <w:tc>
          <w:tcPr>
            <w:tcW w:type="dxa" w:w="240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tcMar>
              <w:top w:w="160" w:type="dxa"/>
              <w:bottom w:w="160" w:type="dxa"/>
              <w:start w:w="12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İmza</w:t>
            </w:r>
          </w:p>
        </w:tc>
      </w:tr>
      <w:tr>
        <w:trPr>
          <w:cantSplit w:val="1"/>
        </w:trPr>
        <w:tc>
          <w:tcPr>
            <w:tcW w:type="dxa" w:w="14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160" w:type="dxa"/>
              <w:bottom w:w="1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42536"/>
                <w:sz w:val="18"/>
              </w:rPr>
              <w:t>Hazırlayan</w:t>
            </w:r>
          </w:p>
        </w:tc>
        <w:tc>
          <w:tcPr>
            <w:tcW w:type="dxa" w:w="418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160" w:type="dxa"/>
              <w:bottom w:w="1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42536"/>
                <w:sz w:val="18"/>
              </w:rPr>
              <w:t>QA/QC Manager / IMS Proje Lideri</w:t>
            </w:r>
          </w:p>
        </w:tc>
        <w:tc>
          <w:tcPr>
            <w:tcW w:type="dxa" w:w="16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160" w:type="dxa"/>
              <w:bottom w:w="1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42536"/>
                <w:sz w:val="18"/>
              </w:rPr>
            </w:r>
          </w:p>
        </w:tc>
        <w:tc>
          <w:tcPr>
            <w:tcW w:type="dxa" w:w="24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160" w:type="dxa"/>
              <w:bottom w:w="1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42536"/>
                <w:sz w:val="18"/>
              </w:rPr>
            </w:r>
          </w:p>
        </w:tc>
      </w:tr>
      <w:tr>
        <w:trPr>
          <w:cantSplit w:val="1"/>
        </w:trPr>
        <w:tc>
          <w:tcPr>
            <w:tcW w:type="dxa" w:w="14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160" w:type="dxa"/>
              <w:bottom w:w="1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42536"/>
                <w:sz w:val="18"/>
              </w:rPr>
              <w:t>Kontrol eden</w:t>
            </w:r>
          </w:p>
        </w:tc>
        <w:tc>
          <w:tcPr>
            <w:tcW w:type="dxa" w:w="418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160" w:type="dxa"/>
              <w:bottom w:w="1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42536"/>
                <w:sz w:val="18"/>
              </w:rPr>
              <w:t>Fabrika Direktörü</w:t>
            </w:r>
          </w:p>
        </w:tc>
        <w:tc>
          <w:tcPr>
            <w:tcW w:type="dxa" w:w="16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160" w:type="dxa"/>
              <w:bottom w:w="1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42536"/>
                <w:sz w:val="18"/>
              </w:rPr>
            </w:r>
          </w:p>
        </w:tc>
        <w:tc>
          <w:tcPr>
            <w:tcW w:type="dxa" w:w="24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160" w:type="dxa"/>
              <w:bottom w:w="1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42536"/>
                <w:sz w:val="18"/>
              </w:rPr>
            </w:r>
          </w:p>
        </w:tc>
      </w:tr>
      <w:tr>
        <w:trPr>
          <w:cantSplit w:val="1"/>
        </w:trPr>
        <w:tc>
          <w:tcPr>
            <w:tcW w:type="dxa" w:w="14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160" w:type="dxa"/>
              <w:bottom w:w="1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42536"/>
                <w:sz w:val="18"/>
              </w:rPr>
              <w:t>Onaylayan</w:t>
            </w:r>
          </w:p>
        </w:tc>
        <w:tc>
          <w:tcPr>
            <w:tcW w:type="dxa" w:w="418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160" w:type="dxa"/>
              <w:bottom w:w="1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42536"/>
                <w:sz w:val="18"/>
              </w:rPr>
              <w:t>Genel Müdür</w:t>
            </w:r>
          </w:p>
        </w:tc>
        <w:tc>
          <w:tcPr>
            <w:tcW w:type="dxa" w:w="16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160" w:type="dxa"/>
              <w:bottom w:w="1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42536"/>
                <w:sz w:val="18"/>
              </w:rPr>
            </w:r>
          </w:p>
        </w:tc>
        <w:tc>
          <w:tcPr>
            <w:tcW w:type="dxa" w:w="24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160" w:type="dxa"/>
              <w:bottom w:w="1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42536"/>
                <w:sz w:val="18"/>
              </w:rPr>
            </w:r>
          </w:p>
        </w:tc>
      </w:tr>
    </w:tbl>
    <w:p>
      <w:pPr>
        <w:spacing w:after="40"/>
        <w:widowControl w:val="1"/>
      </w:pPr>
    </w:p>
    <w:p>
      <w:pPr>
        <w:pStyle w:val="Heading2"/>
        <w:keepNext/>
        <w:widowControl w:val="1"/>
      </w:pPr>
      <w:r>
        <w:rPr>
          <w:rFonts w:ascii="Arial" w:hAnsi="Arial" w:eastAsia="Arial"/>
          <w:b/>
          <w:color w:val="183A59"/>
          <w:sz w:val="25"/>
        </w:rPr>
        <w:t>0.2 Revizyon geçmişi</w:t>
      </w:r>
    </w:p>
    <w:tbl>
      <w:tblPr>
        <w:tblStyle w:val="TableGrid"/>
        <w:tblW w:type="dxa" w:w="963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00"/>
        <w:gridCol w:w="1250"/>
        <w:gridCol w:w="3960"/>
        <w:gridCol w:w="2220"/>
        <w:gridCol w:w="1500"/>
      </w:tblGrid>
      <w:tr>
        <w:trPr>
          <w:tblHeader w:val="true"/>
          <w:cantSplit w:val="1"/>
        </w:trPr>
        <w:tc>
          <w:tcPr>
            <w:tcW w:type="dxa" w:w="70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Rev.</w:t>
            </w:r>
          </w:p>
        </w:tc>
        <w:tc>
          <w:tcPr>
            <w:tcW w:type="dxa" w:w="125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Tarih</w:t>
            </w:r>
          </w:p>
        </w:tc>
        <w:tc>
          <w:tcPr>
            <w:tcW w:type="dxa" w:w="396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Değişiklik özeti</w:t>
            </w:r>
          </w:p>
        </w:tc>
        <w:tc>
          <w:tcPr>
            <w:tcW w:type="dxa" w:w="222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Hazırlayan</w:t>
            </w:r>
          </w:p>
        </w:tc>
        <w:tc>
          <w:tcPr>
            <w:tcW w:type="dxa" w:w="150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Onay</w:t>
            </w:r>
          </w:p>
        </w:tc>
      </w:tr>
      <w:tr>
        <w:trPr>
          <w:cantSplit w:val="1"/>
        </w:trPr>
        <w:tc>
          <w:tcPr>
            <w:tcW w:type="dxa" w:w="7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7"/>
              </w:rPr>
              <w:t>R0</w:t>
            </w:r>
          </w:p>
        </w:tc>
        <w:tc>
          <w:tcPr>
            <w:tcW w:type="dxa" w:w="12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7"/>
              </w:rPr>
              <w:t>01.08.2026</w:t>
            </w:r>
          </w:p>
        </w:tc>
        <w:tc>
          <w:tcPr>
            <w:tcW w:type="dxa" w:w="396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7"/>
              </w:rPr>
              <w:t>İlk kontrollü yayın - SARL MAPA IMS baseline: organizasyon, roller, karar hakları, RACI, vekâlet ve yönetişim.</w:t>
            </w:r>
          </w:p>
        </w:tc>
        <w:tc>
          <w:tcPr>
            <w:tcW w:type="dxa" w:w="222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7"/>
              </w:rPr>
              <w:t>QA/QC Manager / IMS Proje Lideri</w:t>
            </w:r>
          </w:p>
        </w:tc>
        <w:tc>
          <w:tcPr>
            <w:tcW w:type="dxa" w:w="15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7"/>
              </w:rPr>
              <w:t>Genel Müdür</w:t>
            </w:r>
          </w:p>
        </w:tc>
      </w:tr>
    </w:tbl>
    <w:p>
      <w:pPr>
        <w:spacing w:after="40"/>
        <w:widowControl w:val="1"/>
      </w:pPr>
    </w:p>
    <w:p>
      <w:pPr>
        <w:pStyle w:val="Heading2"/>
        <w:keepNext/>
        <w:widowControl w:val="1"/>
      </w:pPr>
      <w:r>
        <w:rPr>
          <w:rFonts w:ascii="Arial" w:hAnsi="Arial" w:eastAsia="Arial"/>
          <w:b/>
          <w:color w:val="183A59"/>
          <w:sz w:val="25"/>
        </w:rPr>
        <w:t>0.3 Dağıtım ve kontrollü kullanım</w:t>
      </w:r>
    </w:p>
    <w:tbl>
      <w:tblPr>
        <w:tblStyle w:val="TableGrid"/>
        <w:tblW w:type="dxa" w:w="963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2900"/>
        <w:gridCol w:w="4980"/>
      </w:tblGrid>
      <w:tr>
        <w:trPr>
          <w:tblHeader w:val="true"/>
          <w:cantSplit w:val="1"/>
        </w:trPr>
        <w:tc>
          <w:tcPr>
            <w:tcW w:type="dxa" w:w="175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Kopya / erişim</w:t>
            </w:r>
          </w:p>
        </w:tc>
        <w:tc>
          <w:tcPr>
            <w:tcW w:type="dxa" w:w="290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Kullanıcı grubu</w:t>
            </w:r>
          </w:p>
        </w:tc>
        <w:tc>
          <w:tcPr>
            <w:tcW w:type="dxa" w:w="498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Kontrol kuralı</w:t>
            </w:r>
          </w:p>
        </w:tc>
      </w:tr>
      <w:tr>
        <w:trPr>
          <w:cantSplit w:val="1"/>
        </w:trPr>
        <w:tc>
          <w:tcPr>
            <w:tcW w:type="dxa" w:w="17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7"/>
              </w:rPr>
              <w:t>Master elektronik kopya</w:t>
            </w:r>
          </w:p>
        </w:tc>
        <w:tc>
          <w:tcPr>
            <w:tcW w:type="dxa" w:w="29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7"/>
              </w:rPr>
              <w:t>Genel Müdür, Fabrika Direktörü, QA/IMS</w:t>
            </w:r>
          </w:p>
        </w:tc>
        <w:tc>
          <w:tcPr>
            <w:tcW w:type="dxa" w:w="498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7"/>
              </w:rPr>
              <w:t>Salt okunur yayın; revizyon ve audit trail korunur.</w:t>
            </w:r>
          </w:p>
        </w:tc>
      </w:tr>
      <w:tr>
        <w:trPr>
          <w:cantSplit w:val="1"/>
        </w:trPr>
        <w:tc>
          <w:tcPr>
            <w:tcW w:type="dxa" w:w="17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7"/>
              </w:rPr>
              <w:t>Kontrollü çalışma kopyası</w:t>
            </w:r>
          </w:p>
        </w:tc>
        <w:tc>
          <w:tcPr>
            <w:tcW w:type="dxa" w:w="29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7"/>
              </w:rPr>
              <w:t>Fonksiyon ve süreç sahipleri</w:t>
            </w:r>
          </w:p>
        </w:tc>
        <w:tc>
          <w:tcPr>
            <w:tcW w:type="dxa" w:w="498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7"/>
              </w:rPr>
              <w:t>Yalnız güncel revizyon; yerel kopya senkronizasyonu zorunlu.</w:t>
            </w:r>
          </w:p>
        </w:tc>
      </w:tr>
      <w:tr>
        <w:trPr>
          <w:cantSplit w:val="1"/>
        </w:trPr>
        <w:tc>
          <w:tcPr>
            <w:tcW w:type="dxa" w:w="17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7"/>
              </w:rPr>
              <w:t>Bilgilendirme kopyası</w:t>
            </w:r>
          </w:p>
        </w:tc>
        <w:tc>
          <w:tcPr>
            <w:tcW w:type="dxa" w:w="29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7"/>
              </w:rPr>
              <w:t>Tüm çalışanlar / ilgili taraflar</w:t>
            </w:r>
          </w:p>
        </w:tc>
        <w:tc>
          <w:tcPr>
            <w:tcW w:type="dxa" w:w="498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7"/>
              </w:rPr>
              <w:t>Değişiklik yetkisi yoktur; basılı kopya kontrolsüz kabul edilir.</w:t>
            </w:r>
          </w:p>
        </w:tc>
      </w:tr>
    </w:tbl>
    <w:p>
      <w:pPr>
        <w:spacing w:after="40"/>
        <w:widowControl w:val="1"/>
      </w:pPr>
    </w:p>
    <w:tbl>
      <w:tblPr>
        <w:tblW w:type="dxa" w:w="957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570"/>
      </w:tblGrid>
      <w:tr>
        <w:trPr>
          <w:cantSplit w:val="1"/>
        </w:trPr>
        <w:tc>
          <w:tcPr>
            <w:tcW w:type="dxa" w:w="9570"/>
            <w:shd w:fill="EAF2F6"/>
            <w:tcBorders>
              <w:top w:val="single" w:sz="5" w:space="0" w:color="C7D7E2"/>
              <w:left w:val="single" w:sz="5" w:space="0" w:color="C7D7E2"/>
              <w:bottom w:val="single" w:sz="5" w:space="0" w:color="C7D7E2"/>
              <w:right w:val="single" w:sz="5" w:space="0" w:color="C7D7E2"/>
              <w:insideH w:val="single" w:sz="5" w:space="0" w:color="C7D7E2"/>
              <w:insideV w:val="single" w:sz="5" w:space="0" w:color="C7D7E2"/>
            </w:tcBorders>
            <w:vAlign w:val="center"/>
            <w:tcMar>
              <w:top w:w="125" w:type="dxa"/>
              <w:bottom w:w="125" w:type="dxa"/>
              <w:start w:w="180" w:type="dxa"/>
              <w:end w:w="18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 w:eastAsia="Arial"/>
                <w:b/>
                <w:color w:val="183A59"/>
                <w:sz w:val="21"/>
              </w:rPr>
              <w:t>Statü kuralı</w:t>
            </w:r>
          </w:p>
          <w:p>
            <w:pPr>
              <w:spacing w:after="0" w:line="269" w:lineRule="auto"/>
            </w:pPr>
            <w:r>
              <w:rPr>
                <w:rFonts w:ascii="Arial" w:hAnsi="Arial" w:eastAsia="Arial"/>
                <w:color w:val="142536"/>
                <w:sz w:val="21"/>
              </w:rPr>
              <w:t>Bu belge rol tasarımıdır; kişi ataması değildir. İsim bazlı görevlendirmeler yalnız onaylı Organization &amp; Role Master, görev tanımı, vekâlet ve yetkinlik kayıtlarıyla yürürlüğe girer.</w:t>
            </w:r>
          </w:p>
        </w:tc>
      </w:tr>
    </w:tbl>
    <w:p>
      <w:pPr>
        <w:spacing w:after="20"/>
        <w:widowControl w:val="1"/>
      </w:pPr>
    </w:p>
    <w:p>
      <w:pPr>
        <w:pStyle w:val="Heading2"/>
        <w:keepNext/>
        <w:widowControl w:val="1"/>
      </w:pPr>
      <w:r>
        <w:rPr>
          <w:rFonts w:ascii="Arial" w:hAnsi="Arial" w:eastAsia="Arial"/>
          <w:b/>
          <w:color w:val="183A59"/>
          <w:sz w:val="25"/>
        </w:rPr>
        <w:t>0.4 Öncelik ve çelişki yönetimi</w:t>
      </w:r>
    </w:p>
    <w:p>
      <w:pPr>
        <w:spacing w:after="120"/>
        <w:widowControl w:val="1"/>
      </w:pPr>
      <w:r>
        <w:rPr>
          <w:rFonts w:ascii="Arial" w:hAnsi="Arial" w:eastAsia="Arial"/>
          <w:color w:val="142536"/>
          <w:sz w:val="21"/>
        </w:rPr>
        <w:t>MAPA-CDD-002, MAPA-CDD-001’e tabidir. Mevzuat, bağlayıcı müşteri şartı veya onaylı teknik standartla çelişki görülürse ilgili faaliyet kontrollü şekilde durdurulur; risk değerlendirmesi ve MOC açılmadan görev, yetki veya raporlama hattı değiştirilmez.</w:t>
      </w:r>
    </w:p>
    <w:p>
      <w:pPr>
        <w:widowControl w:val="1"/>
      </w:pPr>
      <w:r/>
    </w:p>
    <w:p>
      <w:pPr>
        <w:spacing w:after="100"/>
        <w:widowControl w:val="1"/>
      </w:pPr>
      <w:r>
        <w:rPr>
          <w:rFonts w:ascii="Arial" w:hAnsi="Arial" w:eastAsia="Arial"/>
          <w:b/>
          <w:color w:val="197B96"/>
          <w:sz w:val="20"/>
        </w:rPr>
        <w:t>DOCUMENT MAP</w:t>
      </w:r>
    </w:p>
    <w:p>
      <w:pPr>
        <w:pStyle w:val="Heading1"/>
        <w:keepNext/>
        <w:pageBreakBefore w:val="0"/>
        <w:widowControl w:val="1"/>
      </w:pPr>
      <w:r>
        <w:rPr>
          <w:rFonts w:ascii="Arial" w:hAnsi="Arial" w:eastAsia="Arial"/>
          <w:b/>
          <w:color w:val="197B96"/>
          <w:sz w:val="34"/>
        </w:rPr>
        <w:t>A. Doküman haritası</w:t>
      </w:r>
    </w:p>
    <w:p>
      <w:pPr>
        <w:spacing w:after="120"/>
        <w:widowControl w:val="1"/>
      </w:pPr>
      <w:r>
        <w:rPr>
          <w:rFonts w:ascii="Arial" w:hAnsi="Arial" w:eastAsia="Arial"/>
          <w:color w:val="142536"/>
          <w:sz w:val="21"/>
        </w:rPr>
        <w:t>MAPA-CDD-001 “nasıl bir şirket tasarlıyoruz?” sorusunu; MAPA-CDD-002 ise “bu tasarımı hangi roller, yetkiler, raporlama hatları ve yönetim ritmi işletecek?” sorusunu cevaplar.</w:t>
      </w:r>
    </w:p>
    <w:tbl>
      <w:tblPr>
        <w:tblStyle w:val="TableGrid"/>
        <w:tblW w:type="dxa" w:w="963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00"/>
        <w:gridCol w:w="4200"/>
        <w:gridCol w:w="4330"/>
      </w:tblGrid>
      <w:tr>
        <w:trPr>
          <w:tblHeader w:val="true"/>
          <w:cantSplit w:val="1"/>
        </w:trPr>
        <w:tc>
          <w:tcPr>
            <w:tcW w:type="dxa" w:w="110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Bölüm</w:t>
            </w:r>
          </w:p>
        </w:tc>
        <w:tc>
          <w:tcPr>
            <w:tcW w:type="dxa" w:w="420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İçerik</w:t>
            </w:r>
          </w:p>
        </w:tc>
        <w:tc>
          <w:tcPr>
            <w:tcW w:type="dxa" w:w="433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Bağlayıcı çıktı</w:t>
            </w:r>
          </w:p>
        </w:tc>
      </w:tr>
      <w:tr>
        <w:trPr>
          <w:cantSplit w:val="1"/>
        </w:trPr>
        <w:tc>
          <w:tcPr>
            <w:tcW w:type="dxa" w:w="11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7"/>
              </w:rPr>
              <w:t>1–3</w:t>
            </w:r>
          </w:p>
        </w:tc>
        <w:tc>
          <w:tcPr>
            <w:tcW w:type="dxa" w:w="42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7"/>
              </w:rPr>
              <w:t>Amaç, ilkeler ve yönetim seviyeleri</w:t>
            </w:r>
          </w:p>
        </w:tc>
        <w:tc>
          <w:tcPr>
            <w:tcW w:type="dxa" w:w="433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7"/>
              </w:rPr>
              <w:t>Organizasyonun tasarım mantığı</w:t>
            </w:r>
          </w:p>
        </w:tc>
      </w:tr>
      <w:tr>
        <w:trPr>
          <w:cantSplit w:val="1"/>
        </w:trPr>
        <w:tc>
          <w:tcPr>
            <w:tcW w:type="dxa" w:w="11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7"/>
              </w:rPr>
              <w:t>4–6</w:t>
            </w:r>
          </w:p>
        </w:tc>
        <w:tc>
          <w:tcPr>
            <w:tcW w:type="dxa" w:w="42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7"/>
              </w:rPr>
              <w:t>Organizasyon mimarisi, fonksiyonlar ve arayüzler</w:t>
            </w:r>
          </w:p>
        </w:tc>
        <w:tc>
          <w:tcPr>
            <w:tcW w:type="dxa" w:w="433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7"/>
              </w:rPr>
              <w:t>Raporlama ve hesap verebilirlik</w:t>
            </w:r>
          </w:p>
        </w:tc>
      </w:tr>
      <w:tr>
        <w:trPr>
          <w:cantSplit w:val="1"/>
        </w:trPr>
        <w:tc>
          <w:tcPr>
            <w:tcW w:type="dxa" w:w="11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7"/>
              </w:rPr>
              <w:t>7–9</w:t>
            </w:r>
          </w:p>
        </w:tc>
        <w:tc>
          <w:tcPr>
            <w:tcW w:type="dxa" w:w="42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7"/>
              </w:rPr>
              <w:t>DoA, RACI ve bağımsız güvence</w:t>
            </w:r>
          </w:p>
        </w:tc>
        <w:tc>
          <w:tcPr>
            <w:tcW w:type="dxa" w:w="433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7"/>
              </w:rPr>
              <w:t>Karar hakkı ve veto sınırları</w:t>
            </w:r>
          </w:p>
        </w:tc>
      </w:tr>
      <w:tr>
        <w:trPr>
          <w:cantSplit w:val="1"/>
        </w:trPr>
        <w:tc>
          <w:tcPr>
            <w:tcW w:type="dxa" w:w="11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7"/>
              </w:rPr>
              <w:t>10–13</w:t>
            </w:r>
          </w:p>
        </w:tc>
        <w:tc>
          <w:tcPr>
            <w:tcW w:type="dxa" w:w="42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7"/>
              </w:rPr>
              <w:t>Görev ayrılığı, vekâlet, ritim ve kapasite</w:t>
            </w:r>
          </w:p>
        </w:tc>
        <w:tc>
          <w:tcPr>
            <w:tcW w:type="dxa" w:w="433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7"/>
              </w:rPr>
              <w:t>Süreklilik ve ölçeklenebilirlik</w:t>
            </w:r>
          </w:p>
        </w:tc>
      </w:tr>
      <w:tr>
        <w:trPr>
          <w:cantSplit w:val="1"/>
        </w:trPr>
        <w:tc>
          <w:tcPr>
            <w:tcW w:type="dxa" w:w="11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7"/>
              </w:rPr>
              <w:t>14–17</w:t>
            </w:r>
          </w:p>
        </w:tc>
        <w:tc>
          <w:tcPr>
            <w:tcW w:type="dxa" w:w="42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7"/>
              </w:rPr>
              <w:t>Yetkinlik, MOC, doküman bağları ve uygulama</w:t>
            </w:r>
          </w:p>
        </w:tc>
        <w:tc>
          <w:tcPr>
            <w:tcW w:type="dxa" w:w="433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7"/>
              </w:rPr>
              <w:t>Kontrollü devreye alma</w:t>
            </w:r>
          </w:p>
        </w:tc>
      </w:tr>
      <w:tr>
        <w:trPr>
          <w:cantSplit w:val="1"/>
        </w:trPr>
        <w:tc>
          <w:tcPr>
            <w:tcW w:type="dxa" w:w="11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7"/>
              </w:rPr>
              <w:t>Ekler</w:t>
            </w:r>
          </w:p>
        </w:tc>
        <w:tc>
          <w:tcPr>
            <w:tcW w:type="dxa" w:w="42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7"/>
              </w:rPr>
              <w:t>Rol kodları, RACI/DoA anahtarı, kayıtlar ve kontrol listesi</w:t>
            </w:r>
          </w:p>
        </w:tc>
        <w:tc>
          <w:tcPr>
            <w:tcW w:type="dxa" w:w="433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7"/>
              </w:rPr>
              <w:t>Master data standardı</w:t>
            </w:r>
          </w:p>
        </w:tc>
      </w:tr>
    </w:tbl>
    <w:p>
      <w:pPr>
        <w:spacing w:after="40"/>
        <w:widowControl w:val="1"/>
      </w:pPr>
    </w:p>
    <w:tbl>
      <w:tblPr>
        <w:tblW w:type="dxa" w:w="957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570"/>
      </w:tblGrid>
      <w:tr>
        <w:trPr>
          <w:cantSplit w:val="1"/>
        </w:trPr>
        <w:tc>
          <w:tcPr>
            <w:tcW w:type="dxa" w:w="9570"/>
            <w:shd w:fill="E8F5F7"/>
            <w:tcBorders>
              <w:top w:val="single" w:sz="5" w:space="0" w:color="C7D7E2"/>
              <w:left w:val="single" w:sz="5" w:space="0" w:color="C7D7E2"/>
              <w:bottom w:val="single" w:sz="5" w:space="0" w:color="C7D7E2"/>
              <w:right w:val="single" w:sz="5" w:space="0" w:color="C7D7E2"/>
              <w:insideH w:val="single" w:sz="5" w:space="0" w:color="C7D7E2"/>
              <w:insideV w:val="single" w:sz="5" w:space="0" w:color="C7D7E2"/>
            </w:tcBorders>
            <w:vAlign w:val="center"/>
            <w:tcMar>
              <w:top w:w="125" w:type="dxa"/>
              <w:bottom w:w="125" w:type="dxa"/>
              <w:start w:w="180" w:type="dxa"/>
              <w:end w:w="18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 w:eastAsia="Arial"/>
                <w:b/>
                <w:color w:val="197B96"/>
                <w:sz w:val="21"/>
              </w:rPr>
              <w:t>Tasarım sınırı</w:t>
            </w:r>
          </w:p>
          <w:p>
            <w:pPr>
              <w:spacing w:after="0" w:line="269" w:lineRule="auto"/>
            </w:pPr>
            <w:r>
              <w:rPr>
                <w:rFonts w:ascii="Arial" w:hAnsi="Arial" w:eastAsia="Arial"/>
                <w:color w:val="142536"/>
                <w:sz w:val="21"/>
              </w:rPr>
              <w:t>Bu doküman sabit bir personel sayısı dayatmaz. Roller ve bağımsızlık kuralları sabittir; kadro sayısı iş yükü, risk, vardiya, ürün portföyü ve yasal yeterlilikle ölçeklenir.</w:t>
            </w:r>
          </w:p>
        </w:tc>
      </w:tr>
    </w:tbl>
    <w:p>
      <w:pPr>
        <w:spacing w:after="20"/>
        <w:widowControl w:val="1"/>
      </w:pPr>
    </w:p>
    <w:p>
      <w:pPr>
        <w:pStyle w:val="Heading2"/>
        <w:keepNext/>
        <w:widowControl w:val="1"/>
      </w:pPr>
      <w:r>
        <w:rPr>
          <w:rFonts w:ascii="Arial" w:hAnsi="Arial" w:eastAsia="Arial"/>
          <w:b/>
          <w:color w:val="183A59"/>
          <w:sz w:val="25"/>
        </w:rPr>
        <w:t>Belgenin beş yönetim sorusu</w:t>
      </w:r>
    </w:p>
    <w:p>
      <w:pPr>
        <w:spacing w:after="80" w:line="280" w:lineRule="auto"/>
        <w:ind w:left="720" w:hanging="360"/>
        <w:numPr>
          <w:ilvl w:val="0"/>
          <w:numId w:val="10"/>
        </w:numPr>
        <w:widowControl w:val="1"/>
      </w:pPr>
      <w:r>
        <w:rPr>
          <w:rFonts w:ascii="Arial" w:hAnsi="Arial" w:eastAsia="Arial"/>
          <w:color w:val="142536"/>
          <w:sz w:val="21"/>
        </w:rPr>
        <w:t>Her uçtan uca çıktının tek hesap veren sahibi kimdir?</w:t>
      </w:r>
    </w:p>
    <w:p>
      <w:pPr>
        <w:spacing w:after="80" w:line="280" w:lineRule="auto"/>
        <w:ind w:left="720" w:hanging="360"/>
        <w:numPr>
          <w:ilvl w:val="0"/>
          <w:numId w:val="10"/>
        </w:numPr>
        <w:widowControl w:val="1"/>
      </w:pPr>
      <w:r>
        <w:rPr>
          <w:rFonts w:ascii="Arial" w:hAnsi="Arial" w:eastAsia="Arial"/>
          <w:color w:val="142536"/>
          <w:sz w:val="21"/>
        </w:rPr>
        <w:t>Kararı kim hazırlar, kim onaylar ve kim veto/stop-work yetkisine sahiptir?</w:t>
      </w:r>
    </w:p>
    <w:p>
      <w:pPr>
        <w:spacing w:after="80" w:line="280" w:lineRule="auto"/>
        <w:ind w:left="720" w:hanging="360"/>
        <w:numPr>
          <w:ilvl w:val="0"/>
          <w:numId w:val="10"/>
        </w:numPr>
        <w:widowControl w:val="1"/>
      </w:pPr>
      <w:r>
        <w:rPr>
          <w:rFonts w:ascii="Arial" w:hAnsi="Arial" w:eastAsia="Arial"/>
          <w:color w:val="142536"/>
          <w:sz w:val="21"/>
        </w:rPr>
        <w:t>Üretim, kontrol, serbest bırakma ve kayıt görevleri nasıl ayrılır?</w:t>
      </w:r>
    </w:p>
    <w:p>
      <w:pPr>
        <w:spacing w:after="80" w:line="280" w:lineRule="auto"/>
        <w:ind w:left="720" w:hanging="360"/>
        <w:numPr>
          <w:ilvl w:val="0"/>
          <w:numId w:val="10"/>
        </w:numPr>
        <w:widowControl w:val="1"/>
      </w:pPr>
      <w:r>
        <w:rPr>
          <w:rFonts w:ascii="Arial" w:hAnsi="Arial" w:eastAsia="Arial"/>
          <w:color w:val="142536"/>
          <w:sz w:val="21"/>
        </w:rPr>
        <w:t>Asıl görevli yokken karar sürekliliği hangi vekâletle korunur?</w:t>
      </w:r>
    </w:p>
    <w:p>
      <w:pPr>
        <w:spacing w:after="80" w:line="280" w:lineRule="auto"/>
        <w:ind w:left="720" w:hanging="360"/>
        <w:numPr>
          <w:ilvl w:val="0"/>
          <w:numId w:val="10"/>
        </w:numPr>
        <w:widowControl w:val="1"/>
      </w:pPr>
      <w:r>
        <w:rPr>
          <w:rFonts w:ascii="Arial" w:hAnsi="Arial" w:eastAsia="Arial"/>
          <w:color w:val="142536"/>
          <w:sz w:val="21"/>
        </w:rPr>
        <w:t>Büyüme veya değişiklik hangi objektif tetikleyiciyle yeni rol ya da ayrıştırma gerektirir?</w:t>
      </w:r>
    </w:p>
    <w:p>
      <w:pPr>
        <w:widowControl w:val="1"/>
      </w:pPr>
      <w:r/>
    </w:p>
    <w:p>
      <w:pPr>
        <w:pStyle w:val="Heading1"/>
        <w:keepNext/>
        <w:pageBreakBefore w:val="0"/>
        <w:widowControl w:val="1"/>
      </w:pPr>
      <w:r>
        <w:rPr>
          <w:rFonts w:ascii="Arial" w:hAnsi="Arial" w:eastAsia="Arial"/>
          <w:b/>
          <w:color w:val="197B96"/>
          <w:sz w:val="34"/>
        </w:rPr>
        <w:t>1. Amaç, kapsam ve tasarım ilkeleri</w:t>
      </w:r>
    </w:p>
    <w:p>
      <w:pPr>
        <w:spacing w:after="120"/>
        <w:widowControl w:val="1"/>
      </w:pPr>
      <w:r>
        <w:rPr>
          <w:rFonts w:ascii="Arial" w:hAnsi="Arial" w:eastAsia="Arial"/>
          <w:color w:val="142536"/>
          <w:sz w:val="21"/>
        </w:rPr>
        <w:t>MAPA-CDD-002’nin amacı; SARL MAPA ALGÉRIE’nin strateji ve IMS gereklerini günlük karar, görev, yetki ve hesap verebilirlik sistemine dönüştürmek; büyüme sırasında kişi bağımlılığını, yetki çakışmasını, kontrol bypass’ını ve departmanlar arası boşlukları önlemektir.</w:t>
      </w:r>
    </w:p>
    <w:p>
      <w:pPr>
        <w:pStyle w:val="Heading2"/>
        <w:keepNext/>
        <w:widowControl w:val="1"/>
      </w:pPr>
      <w:r>
        <w:rPr>
          <w:rFonts w:ascii="Arial" w:hAnsi="Arial" w:eastAsia="Arial"/>
          <w:b/>
          <w:color w:val="183A59"/>
          <w:sz w:val="25"/>
        </w:rPr>
        <w:t>1.1 Kapsam</w:t>
      </w:r>
    </w:p>
    <w:p>
      <w:pPr>
        <w:spacing w:after="80" w:line="280" w:lineRule="auto"/>
        <w:ind w:left="720" w:hanging="360"/>
        <w:numPr>
          <w:ilvl w:val="0"/>
          <w:numId w:val="10"/>
        </w:numPr>
        <w:widowControl w:val="1"/>
      </w:pPr>
      <w:r>
        <w:rPr>
          <w:rFonts w:ascii="Arial" w:hAnsi="Arial" w:eastAsia="Arial"/>
          <w:color w:val="142536"/>
          <w:sz w:val="21"/>
        </w:rPr>
        <w:t>Yönetim seviyeleri, doğrudan ve işlevsel raporlama hatları ile yönetişim kurulları.</w:t>
      </w:r>
    </w:p>
    <w:p>
      <w:pPr>
        <w:spacing w:after="80" w:line="280" w:lineRule="auto"/>
        <w:ind w:left="720" w:hanging="360"/>
        <w:numPr>
          <w:ilvl w:val="0"/>
          <w:numId w:val="10"/>
        </w:numPr>
        <w:widowControl w:val="1"/>
      </w:pPr>
      <w:r>
        <w:rPr>
          <w:rFonts w:ascii="Arial" w:hAnsi="Arial" w:eastAsia="Arial"/>
          <w:color w:val="142536"/>
          <w:sz w:val="21"/>
        </w:rPr>
        <w:t>Genel yönetim ve paylaşılan destek fonksiyonları; MAPA Concrete Solutions, MAPA Precast Technologies, MAPA Formwork Technologies (MFT) ve MAPA Laboratory &amp; Technical Services iş kolları; fabrika operasyonları, QA/IMS, üretim QC laboratuvarı, ticari test laboratuvarı, HSE, AR-GE/mühendislik, üretim/imalat, tedarik zinciri, depo, bakım, satış ve teknik hizmet fonksiyonları.</w:t>
      </w:r>
    </w:p>
    <w:p>
      <w:pPr>
        <w:spacing w:after="80" w:line="280" w:lineRule="auto"/>
        <w:ind w:left="720" w:hanging="360"/>
        <w:numPr>
          <w:ilvl w:val="0"/>
          <w:numId w:val="10"/>
        </w:numPr>
        <w:widowControl w:val="1"/>
      </w:pPr>
      <w:r>
        <w:rPr>
          <w:rFonts w:ascii="Arial" w:hAnsi="Arial" w:eastAsia="Arial"/>
          <w:color w:val="142536"/>
          <w:sz w:val="21"/>
        </w:rPr>
        <w:t>Uçtan uca süreç sahipliği, Delegation of Authority (DoA), RACI ve bağımsız güvence modeli.</w:t>
      </w:r>
    </w:p>
    <w:p>
      <w:pPr>
        <w:spacing w:after="80" w:line="280" w:lineRule="auto"/>
        <w:ind w:left="720" w:hanging="360"/>
        <w:numPr>
          <w:ilvl w:val="0"/>
          <w:numId w:val="10"/>
        </w:numPr>
        <w:widowControl w:val="1"/>
      </w:pPr>
      <w:r>
        <w:rPr>
          <w:rFonts w:ascii="Arial" w:hAnsi="Arial" w:eastAsia="Arial"/>
          <w:color w:val="142536"/>
          <w:sz w:val="21"/>
        </w:rPr>
        <w:t>Görev ayrılığı, yasak rol birleşimleri, vekâlet, kapasite ölçekleme ve organizasyon MOC’si.</w:t>
      </w:r>
    </w:p>
    <w:p>
      <w:pPr>
        <w:spacing w:after="80" w:line="280" w:lineRule="auto"/>
        <w:ind w:left="720" w:hanging="360"/>
        <w:numPr>
          <w:ilvl w:val="0"/>
          <w:numId w:val="10"/>
        </w:numPr>
        <w:widowControl w:val="1"/>
      </w:pPr>
      <w:r>
        <w:rPr>
          <w:rFonts w:ascii="Arial" w:hAnsi="Arial" w:eastAsia="Arial"/>
          <w:color w:val="142536"/>
          <w:sz w:val="21"/>
        </w:rPr>
        <w:t>Görev tanımı, atama, yetkinlik, yetkilendirme, performans ve organizasyon master-data kayıtları.</w:t>
      </w:r>
    </w:p>
    <w:p>
      <w:pPr>
        <w:pStyle w:val="Heading2"/>
        <w:keepNext/>
        <w:widowControl w:val="1"/>
      </w:pPr>
      <w:r>
        <w:rPr>
          <w:rFonts w:ascii="Arial" w:hAnsi="Arial" w:eastAsia="Arial"/>
          <w:b/>
          <w:color w:val="183A59"/>
          <w:sz w:val="25"/>
        </w:rPr>
        <w:t>1.2 Değişmez organizasyon ilkeleri</w:t>
      </w:r>
    </w:p>
    <w:tbl>
      <w:tblPr>
        <w:tblStyle w:val="TableGrid"/>
        <w:tblW w:type="dxa" w:w="963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50"/>
        <w:gridCol w:w="7280"/>
      </w:tblGrid>
      <w:tr>
        <w:trPr>
          <w:tblHeader w:val="true"/>
          <w:cantSplit w:val="1"/>
        </w:trPr>
        <w:tc>
          <w:tcPr>
            <w:tcW w:type="dxa" w:w="235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İlke</w:t>
            </w:r>
          </w:p>
        </w:tc>
        <w:tc>
          <w:tcPr>
            <w:tcW w:type="dxa" w:w="728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Uygulama kuralı</w:t>
            </w:r>
          </w:p>
        </w:tc>
      </w:tr>
      <w:tr>
        <w:trPr>
          <w:cantSplit w:val="1"/>
        </w:trPr>
        <w:tc>
          <w:tcPr>
            <w:tcW w:type="dxa" w:w="23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7"/>
              </w:rPr>
              <w:t>Tek hesap veren</w:t>
            </w:r>
          </w:p>
        </w:tc>
        <w:tc>
          <w:tcPr>
            <w:tcW w:type="dxa" w:w="728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7"/>
              </w:rPr>
              <w:t>Her süreç ve nihai çıktı için bir A bulunur; komite hesap verebilirliğin yerine geçmez.</w:t>
            </w:r>
          </w:p>
        </w:tc>
      </w:tr>
      <w:tr>
        <w:trPr>
          <w:cantSplit w:val="1"/>
        </w:trPr>
        <w:tc>
          <w:tcPr>
            <w:tcW w:type="dxa" w:w="23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7"/>
              </w:rPr>
              <w:t>Bağımsız güvence</w:t>
            </w:r>
          </w:p>
        </w:tc>
        <w:tc>
          <w:tcPr>
            <w:tcW w:type="dxa" w:w="728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7"/>
              </w:rPr>
              <w:t>QA/IMS, HSE ve iç tetkik; doğruladığı faaliyetin üretim hedefiyle yönetilemez.</w:t>
            </w:r>
          </w:p>
        </w:tc>
      </w:tr>
      <w:tr>
        <w:trPr>
          <w:cantSplit w:val="1"/>
        </w:trPr>
        <w:tc>
          <w:tcPr>
            <w:tcW w:type="dxa" w:w="23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7"/>
              </w:rPr>
              <w:t>Kanıtlı karar</w:t>
            </w:r>
          </w:p>
        </w:tc>
        <w:tc>
          <w:tcPr>
            <w:tcW w:type="dxa" w:w="728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7"/>
              </w:rPr>
              <w:t>Yetki, kayıt ve kabul kriteri yoksa karar kontrollü sayılmaz.</w:t>
            </w:r>
          </w:p>
        </w:tc>
      </w:tr>
      <w:tr>
        <w:trPr>
          <w:cantSplit w:val="1"/>
        </w:trPr>
        <w:tc>
          <w:tcPr>
            <w:tcW w:type="dxa" w:w="23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7"/>
              </w:rPr>
              <w:t>Görev ayrılığı</w:t>
            </w:r>
          </w:p>
        </w:tc>
        <w:tc>
          <w:tcPr>
            <w:tcW w:type="dxa" w:w="728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7"/>
              </w:rPr>
              <w:t>Talep–onay–teslim alma–kontrol–serbest bırakma–ödeme aynı elde birleşmez.</w:t>
            </w:r>
          </w:p>
        </w:tc>
      </w:tr>
      <w:tr>
        <w:trPr>
          <w:cantSplit w:val="1"/>
        </w:trPr>
        <w:tc>
          <w:tcPr>
            <w:tcW w:type="dxa" w:w="23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7"/>
              </w:rPr>
              <w:t>Stop-work</w:t>
            </w:r>
          </w:p>
        </w:tc>
        <w:tc>
          <w:tcPr>
            <w:tcW w:type="dxa" w:w="728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7"/>
              </w:rPr>
              <w:t>Ciddi kalite, HSE, yasal veya veri bütünlüğü riskinde durdurma ve HOLD yetkisi korunur.</w:t>
            </w:r>
          </w:p>
        </w:tc>
      </w:tr>
      <w:tr>
        <w:trPr>
          <w:cantSplit w:val="1"/>
        </w:trPr>
        <w:tc>
          <w:tcPr>
            <w:tcW w:type="dxa" w:w="23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7"/>
              </w:rPr>
              <w:t>Vekâlet sürekliliği</w:t>
            </w:r>
          </w:p>
        </w:tc>
        <w:tc>
          <w:tcPr>
            <w:tcW w:type="dxa" w:w="728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7"/>
              </w:rPr>
              <w:t>Kritik rolün eğitimli vekili ve açık yetki sınırı bulunur.</w:t>
            </w:r>
          </w:p>
        </w:tc>
      </w:tr>
      <w:tr>
        <w:trPr>
          <w:cantSplit w:val="1"/>
        </w:trPr>
        <w:tc>
          <w:tcPr>
            <w:tcW w:type="dxa" w:w="23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7"/>
              </w:rPr>
              <w:t>Riskle ölçekleme</w:t>
            </w:r>
          </w:p>
        </w:tc>
        <w:tc>
          <w:tcPr>
            <w:tcW w:type="dxa" w:w="728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7"/>
              </w:rPr>
              <w:t>Unvan veya kişi sayısı değil; risk, hacim, vardiya ve yetkinlik gereksinimi kadroyu belirler.</w:t>
            </w:r>
          </w:p>
        </w:tc>
      </w:tr>
    </w:tbl>
    <w:p>
      <w:pPr>
        <w:spacing w:after="40"/>
        <w:widowControl w:val="1"/>
      </w:pPr>
    </w:p>
    <w:p>
      <w:pPr>
        <w:pStyle w:val="Heading1"/>
        <w:keepNext/>
        <w:pageBreakBefore w:val="0"/>
        <w:widowControl w:val="1"/>
      </w:pPr>
      <w:r>
        <w:rPr>
          <w:rFonts w:ascii="Arial" w:hAnsi="Arial" w:eastAsia="Arial"/>
          <w:b/>
          <w:color w:val="197B96"/>
          <w:sz w:val="34"/>
        </w:rPr>
        <w:t>2. Organizasyon tasarım varsayımları</w:t>
      </w:r>
    </w:p>
    <w:p>
      <w:pPr>
        <w:spacing w:after="120"/>
        <w:widowControl w:val="1"/>
      </w:pPr>
      <w:r>
        <w:rPr>
          <w:rFonts w:ascii="Arial" w:hAnsi="Arial" w:eastAsia="Arial"/>
          <w:color w:val="142536"/>
          <w:sz w:val="21"/>
        </w:rPr>
        <w:t>SARL MAPA ALGÉRIE; kimyasal katkı ve beton teknolojileri, prefabrik beton ürünleri, MAPA Formwork Technologies (MFT) altında çelik, tünel ve özel sac kalıp sistemleri ile ticari laboratuvar/teknik hizmetleri ortak IMS altında yöneten ölçeklenebilir bir endüstriyel işletme olarak ele alınmıştır. İş kolları ortak yönetişim ve destek süreçlerini kullanır; ürün/hizmet uygunluğu, tarafsızlık ve serbest bırakma kararları işin üretim baskısından korunur.</w:t>
      </w:r>
    </w:p>
    <w:p>
      <w:pPr>
        <w:pStyle w:val="Heading2"/>
        <w:keepNext/>
        <w:widowControl w:val="1"/>
      </w:pPr>
      <w:r>
        <w:rPr>
          <w:rFonts w:ascii="Arial" w:hAnsi="Arial" w:eastAsia="Arial"/>
          <w:b/>
          <w:color w:val="183A59"/>
          <w:sz w:val="25"/>
        </w:rPr>
        <w:t>2.1 Tasarım girdileri</w:t>
      </w:r>
    </w:p>
    <w:p>
      <w:pPr>
        <w:spacing w:after="80" w:line="280" w:lineRule="auto"/>
        <w:ind w:left="720" w:hanging="360"/>
        <w:numPr>
          <w:ilvl w:val="0"/>
          <w:numId w:val="10"/>
        </w:numPr>
        <w:widowControl w:val="1"/>
      </w:pPr>
      <w:r>
        <w:rPr>
          <w:rFonts w:ascii="Arial" w:hAnsi="Arial" w:eastAsia="Arial"/>
          <w:color w:val="142536"/>
          <w:sz w:val="21"/>
        </w:rPr>
        <w:t>MAPA-CDD-001’deki süreç bazlı işletim modeli, kalite kapıları, P1–P4 fazları ve SQDCP+E yönetim dili.</w:t>
      </w:r>
    </w:p>
    <w:p>
      <w:pPr>
        <w:spacing w:after="80" w:line="280" w:lineRule="auto"/>
        <w:ind w:left="720" w:hanging="360"/>
        <w:numPr>
          <w:ilvl w:val="0"/>
          <w:numId w:val="10"/>
        </w:numPr>
        <w:widowControl w:val="1"/>
      </w:pPr>
      <w:r>
        <w:rPr>
          <w:rFonts w:ascii="Arial" w:hAnsi="Arial" w:eastAsia="Arial"/>
          <w:color w:val="142536"/>
          <w:sz w:val="21"/>
        </w:rPr>
        <w:t>ISO Certification Package’ın önce tamamlanması; Digital Knowledge Library ve AI katmanının kontrollü veri üzerinde daha sonra kurulması.</w:t>
      </w:r>
    </w:p>
    <w:p>
      <w:pPr>
        <w:spacing w:after="80" w:line="280" w:lineRule="auto"/>
        <w:ind w:left="720" w:hanging="360"/>
        <w:numPr>
          <w:ilvl w:val="0"/>
          <w:numId w:val="10"/>
        </w:numPr>
        <w:widowControl w:val="1"/>
      </w:pPr>
      <w:r>
        <w:rPr>
          <w:rFonts w:ascii="Arial" w:hAnsi="Arial" w:eastAsia="Arial"/>
          <w:color w:val="142536"/>
          <w:sz w:val="21"/>
        </w:rPr>
        <w:t>L1–L5 dokümante bilgi mimarisi ve 00 IMS Manual–20 Records klasör omurgası.</w:t>
      </w:r>
    </w:p>
    <w:p>
      <w:pPr>
        <w:spacing w:after="80" w:line="280" w:lineRule="auto"/>
        <w:ind w:left="720" w:hanging="360"/>
        <w:numPr>
          <w:ilvl w:val="0"/>
          <w:numId w:val="10"/>
        </w:numPr>
        <w:widowControl w:val="1"/>
      </w:pPr>
      <w:r>
        <w:rPr>
          <w:rFonts w:ascii="Arial" w:hAnsi="Arial" w:eastAsia="Arial"/>
          <w:color w:val="142536"/>
          <w:sz w:val="21"/>
        </w:rPr>
        <w:t>P4 Supply Chain–Incoming Quality–Warehouse paketinde kurulan tedarikçi, giriş kontrolü, statü ve depo kontrolleri.</w:t>
      </w:r>
    </w:p>
    <w:p>
      <w:pPr>
        <w:spacing w:after="80" w:line="280" w:lineRule="auto"/>
        <w:ind w:left="720" w:hanging="360"/>
        <w:numPr>
          <w:ilvl w:val="0"/>
          <w:numId w:val="10"/>
        </w:numPr>
        <w:widowControl w:val="1"/>
      </w:pPr>
      <w:r>
        <w:rPr>
          <w:rFonts w:ascii="Arial" w:hAnsi="Arial" w:eastAsia="Arial"/>
          <w:color w:val="142536"/>
          <w:sz w:val="21"/>
        </w:rPr>
        <w:t>Ürün serbest bırakma, OOS/NCR/CAPA/MOC, ölçüm yönetimi ve HSE stop-work kararlarında bağımsızlık ihtiyacı.</w:t>
      </w:r>
    </w:p>
    <w:tbl>
      <w:tblPr>
        <w:tblW w:type="dxa" w:w="957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570"/>
      </w:tblGrid>
      <w:tr>
        <w:trPr>
          <w:cantSplit w:val="1"/>
        </w:trPr>
        <w:tc>
          <w:tcPr>
            <w:tcW w:type="dxa" w:w="9570"/>
            <w:shd w:fill="E8F5F7"/>
            <w:tcBorders>
              <w:top w:val="single" w:sz="5" w:space="0" w:color="C7D7E2"/>
              <w:left w:val="single" w:sz="5" w:space="0" w:color="C7D7E2"/>
              <w:bottom w:val="single" w:sz="5" w:space="0" w:color="C7D7E2"/>
              <w:right w:val="single" w:sz="5" w:space="0" w:color="C7D7E2"/>
              <w:insideH w:val="single" w:sz="5" w:space="0" w:color="C7D7E2"/>
              <w:insideV w:val="single" w:sz="5" w:space="0" w:color="C7D7E2"/>
            </w:tcBorders>
            <w:vAlign w:val="center"/>
            <w:tcMar>
              <w:top w:w="125" w:type="dxa"/>
              <w:bottom w:w="125" w:type="dxa"/>
              <w:start w:w="180" w:type="dxa"/>
              <w:end w:w="18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 w:eastAsia="Arial"/>
                <w:b/>
                <w:color w:val="197B96"/>
                <w:sz w:val="21"/>
              </w:rPr>
              <w:t>Profesyonel görüş</w:t>
            </w:r>
          </w:p>
          <w:p>
            <w:pPr>
              <w:spacing w:after="0" w:line="269" w:lineRule="auto"/>
            </w:pPr>
            <w:r>
              <w:rPr>
                <w:rFonts w:ascii="Arial" w:hAnsi="Arial" w:eastAsia="Arial"/>
                <w:color w:val="142536"/>
                <w:sz w:val="21"/>
              </w:rPr>
              <w:t>Erken aşamada bütün fonksiyonları ayrı müdürlükler halinde şişirmek gerekli değildir. Ancak rol birleşimi yapılacaksa bağımsızlık, kapasite, yetkinlik ve vekâlet kanıtı zorunludur; QA/serbest bırakma ile üretim veya ticari hedefler hiçbir aşamada aynı hesap verebilirlikte birleşmez.</w:t>
            </w:r>
          </w:p>
        </w:tc>
      </w:tr>
    </w:tbl>
    <w:p>
      <w:pPr>
        <w:spacing w:after="20"/>
        <w:widowControl w:val="1"/>
      </w:pPr>
    </w:p>
    <w:p>
      <w:pPr>
        <w:pStyle w:val="Heading1"/>
        <w:keepNext/>
        <w:pageBreakBefore/>
        <w:widowControl w:val="1"/>
      </w:pPr>
      <w:r>
        <w:rPr>
          <w:rFonts w:ascii="Arial" w:hAnsi="Arial" w:eastAsia="Arial"/>
          <w:b/>
          <w:color w:val="197B96"/>
          <w:sz w:val="34"/>
        </w:rPr>
        <w:t>3. Yönetim seviyeleri ve yönetişim organları</w:t>
      </w:r>
    </w:p>
    <w:tbl>
      <w:tblPr>
        <w:tblStyle w:val="TableGrid"/>
        <w:tblW w:type="dxa" w:w="963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50"/>
        <w:gridCol w:w="2200"/>
        <w:gridCol w:w="2050"/>
        <w:gridCol w:w="4530"/>
      </w:tblGrid>
      <w:tr>
        <w:trPr>
          <w:tblHeader w:val="true"/>
          <w:cantSplit w:val="1"/>
        </w:trPr>
        <w:tc>
          <w:tcPr>
            <w:tcW w:type="dxa" w:w="85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Seviye</w:t>
            </w:r>
          </w:p>
        </w:tc>
        <w:tc>
          <w:tcPr>
            <w:tcW w:type="dxa" w:w="220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Rol ailesi</w:t>
            </w:r>
          </w:p>
        </w:tc>
        <w:tc>
          <w:tcPr>
            <w:tcW w:type="dxa" w:w="205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Karar ufku</w:t>
            </w:r>
          </w:p>
        </w:tc>
        <w:tc>
          <w:tcPr>
            <w:tcW w:type="dxa" w:w="453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Temel hesap verebilirlik</w:t>
            </w:r>
          </w:p>
        </w:tc>
      </w:tr>
      <w:tr>
        <w:trPr>
          <w:cantSplit w:val="1"/>
        </w:trPr>
        <w:tc>
          <w:tcPr>
            <w:tcW w:type="dxa" w:w="8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M0</w:t>
            </w:r>
          </w:p>
        </w:tc>
        <w:tc>
          <w:tcPr>
            <w:tcW w:type="dxa" w:w="22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Genel Müdür / üst yönetim</w:t>
            </w:r>
          </w:p>
        </w:tc>
        <w:tc>
          <w:tcPr>
            <w:tcW w:type="dxa" w:w="20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Stratejik ve kurumsal</w:t>
            </w:r>
          </w:p>
        </w:tc>
        <w:tc>
          <w:tcPr>
            <w:tcW w:type="dxa" w:w="453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Politika, risk kabulü, kaynak, organizasyon ve yönetim sistemi etkinliği.</w:t>
            </w:r>
          </w:p>
        </w:tc>
      </w:tr>
      <w:tr>
        <w:trPr>
          <w:cantSplit w:val="1"/>
        </w:trPr>
        <w:tc>
          <w:tcPr>
            <w:tcW w:type="dxa" w:w="8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M1</w:t>
            </w:r>
          </w:p>
        </w:tc>
        <w:tc>
          <w:tcPr>
            <w:tcW w:type="dxa" w:w="22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İcra ve bağımsız güvence liderleri</w:t>
            </w:r>
          </w:p>
        </w:tc>
        <w:tc>
          <w:tcPr>
            <w:tcW w:type="dxa" w:w="20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Şirket/fabrika çapında</w:t>
            </w:r>
          </w:p>
        </w:tc>
        <w:tc>
          <w:tcPr>
            <w:tcW w:type="dxa" w:w="453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Fonksiyon performansı, süreç sahipliği, çapraz-fonksiyonel öncelik ve eskalasyon.</w:t>
            </w:r>
          </w:p>
        </w:tc>
      </w:tr>
      <w:tr>
        <w:trPr>
          <w:cantSplit w:val="1"/>
        </w:trPr>
        <w:tc>
          <w:tcPr>
            <w:tcW w:type="dxa" w:w="8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M2</w:t>
            </w:r>
          </w:p>
        </w:tc>
        <w:tc>
          <w:tcPr>
            <w:tcW w:type="dxa" w:w="22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Fonksiyon yöneticisi / proses sahibi</w:t>
            </w:r>
          </w:p>
        </w:tc>
        <w:tc>
          <w:tcPr>
            <w:tcW w:type="dxa" w:w="20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Taktik ve süreç bazlı</w:t>
            </w:r>
          </w:p>
        </w:tc>
        <w:tc>
          <w:tcPr>
            <w:tcW w:type="dxa" w:w="453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KPI, risk, kapasite, prosedür, MOC/CAPA ve yetkinlik.</w:t>
            </w:r>
          </w:p>
        </w:tc>
      </w:tr>
      <w:tr>
        <w:trPr>
          <w:cantSplit w:val="1"/>
        </w:trPr>
        <w:tc>
          <w:tcPr>
            <w:tcW w:type="dxa" w:w="8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M3</w:t>
            </w:r>
          </w:p>
        </w:tc>
        <w:tc>
          <w:tcPr>
            <w:tcW w:type="dxa" w:w="22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Süpervizör / vardiya veya ekip lideri</w:t>
            </w:r>
          </w:p>
        </w:tc>
        <w:tc>
          <w:tcPr>
            <w:tcW w:type="dxa" w:w="20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Günlük/haftalık</w:t>
            </w:r>
          </w:p>
        </w:tc>
        <w:tc>
          <w:tcPr>
            <w:tcW w:type="dxa" w:w="453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İş emri, vardiya, standard work, ilk seviye sapma ve kayıt tamlığı.</w:t>
            </w:r>
          </w:p>
        </w:tc>
      </w:tr>
      <w:tr>
        <w:trPr>
          <w:cantSplit w:val="1"/>
        </w:trPr>
        <w:tc>
          <w:tcPr>
            <w:tcW w:type="dxa" w:w="8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M4</w:t>
            </w:r>
          </w:p>
        </w:tc>
        <w:tc>
          <w:tcPr>
            <w:tcW w:type="dxa" w:w="22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Uzman / teknisyen / operatör</w:t>
            </w:r>
          </w:p>
        </w:tc>
        <w:tc>
          <w:tcPr>
            <w:tcW w:type="dxa" w:w="20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İş ve kontrol noktası</w:t>
            </w:r>
          </w:p>
        </w:tc>
        <w:tc>
          <w:tcPr>
            <w:tcW w:type="dxa" w:w="453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Yetkilendirildiği işi standarda uygun uygulama, doğrulama ve sapmayı bildirme.</w:t>
            </w:r>
          </w:p>
        </w:tc>
      </w:tr>
    </w:tbl>
    <w:p>
      <w:pPr>
        <w:spacing w:after="40"/>
        <w:widowControl w:val="1"/>
      </w:pPr>
    </w:p>
    <w:p>
      <w:pPr>
        <w:pStyle w:val="Heading2"/>
        <w:keepNext/>
        <w:widowControl w:val="1"/>
      </w:pPr>
      <w:r>
        <w:rPr>
          <w:rFonts w:ascii="Arial" w:hAnsi="Arial" w:eastAsia="Arial"/>
          <w:b/>
          <w:color w:val="183A59"/>
          <w:sz w:val="25"/>
        </w:rPr>
        <w:t>3.1 Yönetişim organları</w:t>
      </w:r>
    </w:p>
    <w:tbl>
      <w:tblPr>
        <w:tblStyle w:val="TableGrid"/>
        <w:tblW w:type="dxa" w:w="963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2600"/>
        <w:gridCol w:w="4930"/>
      </w:tblGrid>
      <w:tr>
        <w:trPr>
          <w:tblHeader w:val="true"/>
          <w:cantSplit w:val="1"/>
        </w:trPr>
        <w:tc>
          <w:tcPr>
            <w:tcW w:type="dxa" w:w="210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Organ</w:t>
            </w:r>
          </w:p>
        </w:tc>
        <w:tc>
          <w:tcPr>
            <w:tcW w:type="dxa" w:w="260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Başkan / sekretarya</w:t>
            </w:r>
          </w:p>
        </w:tc>
        <w:tc>
          <w:tcPr>
            <w:tcW w:type="dxa" w:w="493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Görev ve karar sınırı</w:t>
            </w:r>
          </w:p>
        </w:tc>
      </w:tr>
      <w:tr>
        <w:trPr>
          <w:cantSplit w:val="1"/>
        </w:trPr>
        <w:tc>
          <w:tcPr>
            <w:tcW w:type="dxa" w:w="21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Yönetim Ekibi</w:t>
            </w:r>
          </w:p>
        </w:tc>
        <w:tc>
          <w:tcPr>
            <w:tcW w:type="dxa" w:w="26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Genel Müdür / QA-IMS</w:t>
            </w:r>
          </w:p>
        </w:tc>
        <w:tc>
          <w:tcPr>
            <w:tcW w:type="dxa" w:w="493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Strateji, şirket riskleri, kaynak, organizasyon, büyük MOC ve performans kararları.</w:t>
            </w:r>
          </w:p>
        </w:tc>
      </w:tr>
      <w:tr>
        <w:trPr>
          <w:cantSplit w:val="1"/>
        </w:trPr>
        <w:tc>
          <w:tcPr>
            <w:tcW w:type="dxa" w:w="21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Fabrika Operasyon Toplantısı</w:t>
            </w:r>
          </w:p>
        </w:tc>
        <w:tc>
          <w:tcPr>
            <w:tcW w:type="dxa" w:w="26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Fabrika Direktörü / Planlama</w:t>
            </w:r>
          </w:p>
        </w:tc>
        <w:tc>
          <w:tcPr>
            <w:tcW w:type="dxa" w:w="493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SQDCP+E, kapasite, günlük/haftalık engel, üretim ve bakım öncelikleri.</w:t>
            </w:r>
          </w:p>
        </w:tc>
      </w:tr>
      <w:tr>
        <w:trPr>
          <w:cantSplit w:val="1"/>
        </w:trPr>
        <w:tc>
          <w:tcPr>
            <w:tcW w:type="dxa" w:w="21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IMS &amp; Uygunluk Kurulu</w:t>
            </w:r>
          </w:p>
        </w:tc>
        <w:tc>
          <w:tcPr>
            <w:tcW w:type="dxa" w:w="26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QA/IMS / Doküman Kontrol</w:t>
            </w:r>
          </w:p>
        </w:tc>
        <w:tc>
          <w:tcPr>
            <w:tcW w:type="dxa" w:w="493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NCR, CAPA, audit, müşteri şikâyeti, yasal uyum, doküman ve veri bütünlüğü.</w:t>
            </w:r>
          </w:p>
        </w:tc>
      </w:tr>
      <w:tr>
        <w:trPr>
          <w:cantSplit w:val="1"/>
        </w:trPr>
        <w:tc>
          <w:tcPr>
            <w:tcW w:type="dxa" w:w="21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MOC Kurulu</w:t>
            </w:r>
          </w:p>
        </w:tc>
        <w:tc>
          <w:tcPr>
            <w:tcW w:type="dxa" w:w="26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Değişiklik sahibi / QA-IMS</w:t>
            </w:r>
          </w:p>
        </w:tc>
        <w:tc>
          <w:tcPr>
            <w:tcW w:type="dxa" w:w="493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Risk değerlendirme, validasyon, eğitim, devreye alma ve post-implementation review.</w:t>
            </w:r>
          </w:p>
        </w:tc>
      </w:tr>
      <w:tr>
        <w:trPr>
          <w:cantSplit w:val="1"/>
        </w:trPr>
        <w:tc>
          <w:tcPr>
            <w:tcW w:type="dxa" w:w="21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HSE Komitesi</w:t>
            </w:r>
          </w:p>
        </w:tc>
        <w:tc>
          <w:tcPr>
            <w:tcW w:type="dxa" w:w="26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HSE / Fabrika Direktörü</w:t>
            </w:r>
          </w:p>
        </w:tc>
        <w:tc>
          <w:tcPr>
            <w:tcW w:type="dxa" w:w="493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Tehlike, olay, çevre boyutu, acil durum ve düzeltici aksiyonlar.</w:t>
            </w:r>
          </w:p>
        </w:tc>
      </w:tr>
      <w:tr>
        <w:trPr>
          <w:cantSplit w:val="1"/>
        </w:trPr>
        <w:tc>
          <w:tcPr>
            <w:tcW w:type="dxa" w:w="21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YGG</w:t>
            </w:r>
          </w:p>
        </w:tc>
        <w:tc>
          <w:tcPr>
            <w:tcW w:type="dxa" w:w="26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Genel Müdür / QA-IMS</w:t>
            </w:r>
          </w:p>
        </w:tc>
        <w:tc>
          <w:tcPr>
            <w:tcW w:type="dxa" w:w="493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IMS’nin uygunluğu, yeterliliği, etkinliği ve stratejik iyileştirme kararları.</w:t>
            </w:r>
          </w:p>
        </w:tc>
      </w:tr>
      <w:tr>
        <w:trPr>
          <w:cantSplit w:val="1"/>
        </w:trPr>
        <w:tc>
          <w:tcPr>
            <w:tcW w:type="dxa" w:w="21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Kriz Ekibi</w:t>
            </w:r>
          </w:p>
        </w:tc>
        <w:tc>
          <w:tcPr>
            <w:tcW w:type="dxa" w:w="26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Olay türüne göre GM/FD/HSE</w:t>
            </w:r>
          </w:p>
        </w:tc>
        <w:tc>
          <w:tcPr>
            <w:tcW w:type="dxa" w:w="493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Can, çevre, ürün, veri, müşteri ve iş sürekliliği için olay bazlı komuta.</w:t>
            </w:r>
          </w:p>
        </w:tc>
      </w:tr>
    </w:tbl>
    <w:p>
      <w:pPr>
        <w:spacing w:after="40"/>
        <w:widowControl w:val="1"/>
      </w:pPr>
    </w:p>
    <w:tbl>
      <w:tblPr>
        <w:tblW w:type="dxa" w:w="957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570"/>
      </w:tblGrid>
      <w:tr>
        <w:trPr>
          <w:cantSplit w:val="1"/>
        </w:trPr>
        <w:tc>
          <w:tcPr>
            <w:tcW w:type="dxa" w:w="9570"/>
            <w:shd w:fill="EAF2F6"/>
            <w:tcBorders>
              <w:top w:val="single" w:sz="5" w:space="0" w:color="C7D7E2"/>
              <w:left w:val="single" w:sz="5" w:space="0" w:color="C7D7E2"/>
              <w:bottom w:val="single" w:sz="5" w:space="0" w:color="C7D7E2"/>
              <w:right w:val="single" w:sz="5" w:space="0" w:color="C7D7E2"/>
              <w:insideH w:val="single" w:sz="5" w:space="0" w:color="C7D7E2"/>
              <w:insideV w:val="single" w:sz="5" w:space="0" w:color="C7D7E2"/>
            </w:tcBorders>
            <w:vAlign w:val="center"/>
            <w:tcMar>
              <w:top w:w="125" w:type="dxa"/>
              <w:bottom w:w="125" w:type="dxa"/>
              <w:start w:w="180" w:type="dxa"/>
              <w:end w:w="18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 w:eastAsia="Arial"/>
                <w:b/>
                <w:color w:val="183A59"/>
                <w:sz w:val="21"/>
              </w:rPr>
              <w:t>Komite kuralı</w:t>
            </w:r>
          </w:p>
          <w:p>
            <w:pPr>
              <w:spacing w:after="0" w:line="269" w:lineRule="auto"/>
            </w:pPr>
            <w:r>
              <w:rPr>
                <w:rFonts w:ascii="Arial" w:hAnsi="Arial" w:eastAsia="Arial"/>
                <w:color w:val="142536"/>
                <w:sz w:val="21"/>
              </w:rPr>
              <w:t>Kurullar karar hazırlayabilir ve ortak riskleri yönetebilir; fakat RACI’deki tek hesap veren rolü, yasal sorumluluğu veya bağımsız veto/stop-work yetkisini devralamaz.</w:t>
            </w:r>
          </w:p>
        </w:tc>
      </w:tr>
    </w:tbl>
    <w:p>
      <w:pPr>
        <w:spacing w:after="20"/>
        <w:widowControl w:val="1"/>
      </w:pPr>
    </w:p>
    <w:p>
      <w:pPr>
        <w:pStyle w:val="Heading1"/>
        <w:keepNext/>
        <w:pageBreakBefore/>
        <w:widowControl w:val="1"/>
      </w:pPr>
      <w:r>
        <w:rPr>
          <w:rFonts w:ascii="Arial" w:hAnsi="Arial" w:eastAsia="Arial"/>
          <w:b/>
          <w:color w:val="197B96"/>
          <w:sz w:val="34"/>
        </w:rPr>
        <w:t>4. Süreç bazlı organizasyon mimarisi</w:t>
      </w:r>
    </w:p>
    <w:p>
      <w:pPr>
        <w:spacing w:after="120"/>
        <w:widowControl w:val="1"/>
      </w:pPr>
      <w:r>
        <w:rPr>
          <w:rFonts w:ascii="Arial" w:hAnsi="Arial" w:eastAsia="Arial"/>
          <w:color w:val="142536"/>
          <w:sz w:val="21"/>
        </w:rPr>
        <w:t>Organizasyonun dikey ekseni hesap verebilirlik ve kaynak yönetimini; yatay ekseni müşteri ihtiyacından ürün serbest bırakma ve saha geri bildirimine uzanan değer akışını gösterir.</w:t>
      </w:r>
    </w:p>
    <w:p>
      <w:pPr>
        <w:jc w:val="center"/>
        <w:widowControl w:val="1"/>
      </w:pPr>
      <w:r/>
    </w:p>
    <w:p>
      <w:pPr>
        <w:pStyle w:val="KRMIXCaption"/>
        <w:jc w:val="center"/>
        <w:widowControl w:val="1"/>
      </w:pPr>
      <w:r>
        <w:t>Şekil 1 — SARL MAPA ALGÉRIE hedef organizasyon mimarisi ve bağımsızlık hatları</w:t>
      </w:r>
    </w:p>
    <w:p>
      <w:pPr>
        <w:pStyle w:val="Heading2"/>
        <w:keepNext/>
        <w:widowControl w:val="1"/>
      </w:pPr>
      <w:r>
        <w:rPr>
          <w:rFonts w:ascii="Arial" w:hAnsi="Arial" w:eastAsia="Arial"/>
          <w:b/>
          <w:color w:val="183A59"/>
          <w:sz w:val="25"/>
        </w:rPr>
        <w:t>4.1 Raporlama mantığı</w:t>
      </w:r>
    </w:p>
    <w:p>
      <w:pPr>
        <w:spacing w:after="80" w:line="280" w:lineRule="auto"/>
        <w:ind w:left="720" w:hanging="360"/>
        <w:numPr>
          <w:ilvl w:val="0"/>
          <w:numId w:val="10"/>
        </w:numPr>
        <w:widowControl w:val="1"/>
      </w:pPr>
      <w:r>
        <w:rPr>
          <w:rFonts w:ascii="Arial" w:hAnsi="Arial" w:eastAsia="Arial"/>
          <w:color w:val="142536"/>
          <w:sz w:val="21"/>
        </w:rPr>
        <w:t>QA/IMS Yöneticisi Genel Müdür’e doğrudan raporlar; kalite sistemi, audit, NCR/CAPA/MOC güvencesi ve ürün statüsü kararlarına üretim/ticari müdahale kabul edilmez.</w:t>
      </w:r>
    </w:p>
    <w:p>
      <w:pPr>
        <w:spacing w:after="80" w:line="280" w:lineRule="auto"/>
        <w:ind w:left="720" w:hanging="360"/>
        <w:numPr>
          <w:ilvl w:val="0"/>
          <w:numId w:val="10"/>
        </w:numPr>
        <w:widowControl w:val="1"/>
      </w:pPr>
      <w:r>
        <w:rPr>
          <w:rFonts w:ascii="Arial" w:hAnsi="Arial" w:eastAsia="Arial"/>
          <w:color w:val="142536"/>
          <w:sz w:val="21"/>
        </w:rPr>
        <w:t>MAPA Concrete Solutions Production QC Laboratory; hammadde, proses, nihai ürün ve parti serbest bırakma kararlarını üretimden bağımsız yürütür. MAPA Formwork Technologies (MFT) kalite kontrolü; MTC/heat izlenebilirliği, teknik resim ve boyutsal uygunluk, kaynak/NDT, kaplama ve final imalat dosyasını üretimden bağımsız doğrular. MAPA Laboratory &amp; Technical Services; dış müşterilere verilen test ve teknik hizmetlerde tarafsızlık, gizlilik, metot yetkinliği ve rapor onayı yönünden ayrı yetki matrisiyle çalışır; ticari veya üretim baskısı sonuçları değiştiremez.</w:t>
      </w:r>
    </w:p>
    <w:p>
      <w:pPr>
        <w:spacing w:after="80" w:line="280" w:lineRule="auto"/>
        <w:ind w:left="720" w:hanging="360"/>
        <w:numPr>
          <w:ilvl w:val="0"/>
          <w:numId w:val="10"/>
        </w:numPr>
        <w:widowControl w:val="1"/>
      </w:pPr>
      <w:r>
        <w:rPr>
          <w:rFonts w:ascii="Arial" w:hAnsi="Arial" w:eastAsia="Arial"/>
          <w:color w:val="142536"/>
          <w:sz w:val="21"/>
        </w:rPr>
        <w:t>HSE &amp; Çevre Genel Müdür’e doğrudan erişir; operasyonla günlük çalışır fakat ciddi riskte stop-work kararını bağımsız uygular.</w:t>
      </w:r>
    </w:p>
    <w:p>
      <w:pPr>
        <w:spacing w:after="80" w:line="280" w:lineRule="auto"/>
        <w:ind w:left="720" w:hanging="360"/>
        <w:numPr>
          <w:ilvl w:val="0"/>
          <w:numId w:val="10"/>
        </w:numPr>
        <w:widowControl w:val="1"/>
      </w:pPr>
      <w:r>
        <w:rPr>
          <w:rFonts w:ascii="Arial" w:hAnsi="Arial" w:eastAsia="Arial"/>
          <w:color w:val="142536"/>
          <w:sz w:val="21"/>
        </w:rPr>
        <w:t>İç tetkik fonksiyonu tetkik ettiği faaliyetten bağımsızdır; Genel Müdür ve YGG’ye sansürsüz erişir. Kaynak uygunsa dış uzmanla desteklenebilir.</w:t>
      </w:r>
    </w:p>
    <w:p>
      <w:pPr>
        <w:spacing w:after="80" w:line="280" w:lineRule="auto"/>
        <w:ind w:left="720" w:hanging="360"/>
        <w:numPr>
          <w:ilvl w:val="0"/>
          <w:numId w:val="10"/>
        </w:numPr>
        <w:widowControl w:val="1"/>
      </w:pPr>
      <w:r>
        <w:rPr>
          <w:rFonts w:ascii="Arial" w:hAnsi="Arial" w:eastAsia="Arial"/>
          <w:color w:val="142536"/>
          <w:sz w:val="21"/>
        </w:rPr>
        <w:t>Paylaşılan Finans, İdari İşler, İK ve IT/OT hizmetleri fonksiyon sahipliğini üstlenmez; servis seviyesi ve veri/erişim kontrolleriyle destek verir.</w:t>
      </w:r>
    </w:p>
    <w:p>
      <w:pPr>
        <w:pStyle w:val="Heading1"/>
        <w:keepNext/>
        <w:pageBreakBefore/>
        <w:widowControl w:val="1"/>
      </w:pPr>
      <w:r>
        <w:rPr>
          <w:rFonts w:ascii="Arial" w:hAnsi="Arial" w:eastAsia="Arial"/>
          <w:b/>
          <w:color w:val="197B96"/>
          <w:sz w:val="34"/>
        </w:rPr>
        <w:t>5. Fonksiyon ve rol şartları</w:t>
      </w:r>
    </w:p>
    <w:p>
      <w:pPr>
        <w:spacing w:after="120"/>
        <w:widowControl w:val="1"/>
      </w:pPr>
      <w:r>
        <w:rPr>
          <w:rFonts w:ascii="Arial" w:hAnsi="Arial" w:eastAsia="Arial"/>
          <w:color w:val="142536"/>
          <w:sz w:val="21"/>
        </w:rPr>
        <w:t>Aşağıdaki şartlar isimden bağımsız rol charter’ıdır. Nihai görev tanımları bu çerçeveyi daraltamaz; ek görevler bağımsızlık ve kapasite değerlendirmesiyle verilebilir.</w:t>
      </w:r>
    </w:p>
    <w:p>
      <w:pPr>
        <w:pStyle w:val="Heading2"/>
        <w:keepNext/>
        <w:widowControl w:val="1"/>
      </w:pPr>
      <w:r>
        <w:rPr>
          <w:rFonts w:ascii="Arial" w:hAnsi="Arial" w:eastAsia="Arial"/>
          <w:b/>
          <w:color w:val="183A59"/>
          <w:sz w:val="25"/>
        </w:rPr>
        <w:t>5.1 Kurumsal liderlik ve güvence</w:t>
      </w:r>
    </w:p>
    <w:tbl>
      <w:tblPr>
        <w:tblStyle w:val="TableGrid"/>
        <w:tblW w:type="dxa" w:w="963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50"/>
        <w:gridCol w:w="4320"/>
        <w:gridCol w:w="3260"/>
      </w:tblGrid>
      <w:tr>
        <w:trPr>
          <w:tblHeader w:val="true"/>
          <w:cantSplit w:val="1"/>
        </w:trPr>
        <w:tc>
          <w:tcPr>
            <w:tcW w:type="dxa" w:w="205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Rol / fonksiyon</w:t>
            </w:r>
          </w:p>
        </w:tc>
        <w:tc>
          <w:tcPr>
            <w:tcW w:type="dxa" w:w="432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Hesap verdiği ana çıktılar</w:t>
            </w:r>
          </w:p>
        </w:tc>
        <w:tc>
          <w:tcPr>
            <w:tcW w:type="dxa" w:w="326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Kritik yetki ve sınır</w:t>
            </w:r>
          </w:p>
        </w:tc>
      </w:tr>
      <w:tr>
        <w:trPr>
          <w:cantSplit w:val="1"/>
        </w:trPr>
        <w:tc>
          <w:tcPr>
            <w:tcW w:type="dxa" w:w="20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Genel Müdür</w:t>
            </w:r>
          </w:p>
        </w:tc>
        <w:tc>
          <w:tcPr>
            <w:tcW w:type="dxa" w:w="432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Strateji, politika, şirket riskleri, organizasyon, kaynak, YGG ve IMS etkinliği.</w:t>
            </w:r>
          </w:p>
        </w:tc>
        <w:tc>
          <w:tcPr>
            <w:tcW w:type="dxa" w:w="326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CDD/IMS onayı; D3–D4 risk kabulü; kritik kaynak/organizasyon kararı. Yasal ve bağımsız kontrolü bypass edemez.</w:t>
            </w:r>
          </w:p>
        </w:tc>
      </w:tr>
      <w:tr>
        <w:trPr>
          <w:cantSplit w:val="1"/>
        </w:trPr>
        <w:tc>
          <w:tcPr>
            <w:tcW w:type="dxa" w:w="20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QA/IMS Yöneticisi</w:t>
            </w:r>
          </w:p>
        </w:tc>
        <w:tc>
          <w:tcPr>
            <w:tcW w:type="dxa" w:w="432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IMS mimarisi, audit, doküman kontrol, NCR/CAPA/MOC güvencesi, kalite kültürü ve release governance.</w:t>
            </w:r>
          </w:p>
        </w:tc>
        <w:tc>
          <w:tcPr>
            <w:tcW w:type="dxa" w:w="326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HOLD/REJECT, audit erişimi, uygunsuz işi durdurma, düzeltme isteme ve GM’ye doğrudan eskalasyon.</w:t>
            </w:r>
          </w:p>
        </w:tc>
      </w:tr>
      <w:tr>
        <w:trPr>
          <w:cantSplit w:val="1"/>
        </w:trPr>
        <w:tc>
          <w:tcPr>
            <w:tcW w:type="dxa" w:w="20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HSE &amp; Çevre</w:t>
            </w:r>
          </w:p>
        </w:tc>
        <w:tc>
          <w:tcPr>
            <w:tcW w:type="dxa" w:w="432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Yasal uyum, risk değerlendirme, olay, çevre boyutu, acil durum ve HSE performansı.</w:t>
            </w:r>
          </w:p>
        </w:tc>
        <w:tc>
          <w:tcPr>
            <w:tcW w:type="dxa" w:w="326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Ciddi/ani riskte stop-work ve alan tahliyesi; yasal bildirim önerisi; GM’ye doğrudan erişim.</w:t>
            </w:r>
          </w:p>
        </w:tc>
      </w:tr>
      <w:tr>
        <w:trPr>
          <w:cantSplit w:val="1"/>
        </w:trPr>
        <w:tc>
          <w:tcPr>
            <w:tcW w:type="dxa" w:w="20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İç Tetkik Sorumlusu</w:t>
            </w:r>
          </w:p>
        </w:tc>
        <w:tc>
          <w:tcPr>
            <w:tcW w:type="dxa" w:w="432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Risk bazlı tetkik programı, bağımsız bulgu ve kapanış doğrulaması.</w:t>
            </w:r>
          </w:p>
        </w:tc>
        <w:tc>
          <w:tcPr>
            <w:tcW w:type="dxa" w:w="326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Kayıt/personel/sahaya erişim; bulgu sansürünü reddetme. Kendi işini tetkik edemez.</w:t>
            </w:r>
          </w:p>
        </w:tc>
      </w:tr>
    </w:tbl>
    <w:p>
      <w:pPr>
        <w:spacing w:after="40"/>
        <w:widowControl w:val="1"/>
      </w:pPr>
    </w:p>
    <w:p>
      <w:pPr>
        <w:pStyle w:val="Heading2"/>
        <w:keepNext/>
        <w:widowControl w:val="1"/>
      </w:pPr>
      <w:r>
        <w:rPr>
          <w:rFonts w:ascii="Arial" w:hAnsi="Arial" w:eastAsia="Arial"/>
          <w:b/>
          <w:color w:val="183A59"/>
          <w:sz w:val="25"/>
        </w:rPr>
        <w:t>5.2 Operasyon ve teknik fonksiyonlar</w:t>
      </w:r>
    </w:p>
    <w:tbl>
      <w:tblPr>
        <w:tblStyle w:val="TableGrid"/>
        <w:tblW w:type="dxa" w:w="963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50"/>
        <w:gridCol w:w="4320"/>
        <w:gridCol w:w="3260"/>
      </w:tblGrid>
      <w:tr>
        <w:trPr>
          <w:tblHeader w:val="true"/>
          <w:cantSplit w:val="1"/>
        </w:trPr>
        <w:tc>
          <w:tcPr>
            <w:tcW w:type="dxa" w:w="205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Rol / fonksiyon</w:t>
            </w:r>
          </w:p>
        </w:tc>
        <w:tc>
          <w:tcPr>
            <w:tcW w:type="dxa" w:w="432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Hesap verdiği ana çıktılar</w:t>
            </w:r>
          </w:p>
        </w:tc>
        <w:tc>
          <w:tcPr>
            <w:tcW w:type="dxa" w:w="326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Kritik yetki ve sınır</w:t>
            </w:r>
          </w:p>
        </w:tc>
      </w:tr>
      <w:tr>
        <w:trPr>
          <w:cantSplit w:val="1"/>
        </w:trPr>
        <w:tc>
          <w:tcPr>
            <w:tcW w:type="dxa" w:w="20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Fabrika Direktörü</w:t>
            </w:r>
          </w:p>
        </w:tc>
        <w:tc>
          <w:tcPr>
            <w:tcW w:type="dxa" w:w="432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SQDCP+E, kapasite, plan, üretim, bakım, malzeme akışı ve operasyon kaynakları.</w:t>
            </w:r>
          </w:p>
        </w:tc>
        <w:tc>
          <w:tcPr>
            <w:tcW w:type="dxa" w:w="326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D2 operasyon kararı; güvenli olmayan/uygunsuz işi durdurma. QA/HSE veto kararını geçersiz kılamaz.</w:t>
            </w:r>
          </w:p>
        </w:tc>
      </w:tr>
      <w:tr>
        <w:trPr>
          <w:cantSplit w:val="1"/>
        </w:trPr>
        <w:tc>
          <w:tcPr>
            <w:tcW w:type="dxa" w:w="20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AR-GE / Ürün, Kalıp &amp; Proses Teknolojisi</w:t>
            </w:r>
          </w:p>
        </w:tc>
        <w:tc>
          <w:tcPr>
            <w:tcW w:type="dxa" w:w="432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Ürün gereksinimi; reçete veya kalıp tasarımı, teknik resim/BOM/WPS; deneme/prototip, validasyon, teknik dosya ve MOC girdileri.</w:t>
            </w:r>
          </w:p>
        </w:tc>
        <w:tc>
          <w:tcPr>
            <w:tcW w:type="dxa" w:w="326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Teknik çözüm ve spesifikasyon önerisi; onaysız reçete, tasarım/teknik resim, WPS veya claim değişikliği ve ticari release yapamaz.</w:t>
            </w:r>
          </w:p>
        </w:tc>
      </w:tr>
      <w:tr>
        <w:trPr>
          <w:cantSplit w:val="1"/>
        </w:trPr>
        <w:tc>
          <w:tcPr>
            <w:tcW w:type="dxa" w:w="20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Üretim Yöneticisi</w:t>
            </w:r>
          </w:p>
        </w:tc>
        <w:tc>
          <w:tcPr>
            <w:tcW w:type="dxa" w:w="432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Üretim planı uygulaması; batch/iş emri kaydı; karıştırma veya kesme-bükme-kaynak-montaj-kaplama prosesi; IPC/ITP, verim, temizlik ve vardiya disiplini.</w:t>
            </w:r>
          </w:p>
        </w:tc>
        <w:tc>
          <w:tcPr>
            <w:tcW w:type="dxa" w:w="326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Hat/ekip/iş emri düzeni; sapmada üretimi durdurma. Kendi batch veya imalat işini nihai serbest bırakamaz.</w:t>
            </w:r>
          </w:p>
        </w:tc>
      </w:tr>
      <w:tr>
        <w:trPr>
          <w:cantSplit w:val="1"/>
        </w:trPr>
        <w:tc>
          <w:tcPr>
            <w:tcW w:type="dxa" w:w="20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Tedarik Zinciri &amp; Satınalma</w:t>
            </w:r>
          </w:p>
        </w:tc>
        <w:tc>
          <w:tcPr>
            <w:tcW w:type="dxa" w:w="432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Talep planı, kaynak bulma, sipariş, tedarikçi performansı ve süreklilik.</w:t>
            </w:r>
          </w:p>
        </w:tc>
        <w:tc>
          <w:tcPr>
            <w:tcW w:type="dxa" w:w="326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Onaylı tedarikçi/şartlardan satınalma; teknik/kalite onayı olmadan kaynak veya spesifikasyon değiştiremez.</w:t>
            </w:r>
          </w:p>
        </w:tc>
      </w:tr>
      <w:tr>
        <w:trPr>
          <w:cantSplit w:val="1"/>
        </w:trPr>
        <w:tc>
          <w:tcPr>
            <w:tcW w:type="dxa" w:w="20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Depo &amp; Lojistik</w:t>
            </w:r>
          </w:p>
        </w:tc>
        <w:tc>
          <w:tcPr>
            <w:tcW w:type="dxa" w:w="432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Teslim alma, karantina/statü, FIFO/FEFO, stok doğruluğu, sevkiyat ve izlenebilirlik.</w:t>
            </w:r>
          </w:p>
        </w:tc>
        <w:tc>
          <w:tcPr>
            <w:tcW w:type="dxa" w:w="326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Statüsüz veya HOLD malzemeyi bloke etme; release olmadan kullanım/sevk yapamaz.</w:t>
            </w:r>
          </w:p>
        </w:tc>
      </w:tr>
      <w:tr>
        <w:trPr>
          <w:cantSplit w:val="1"/>
        </w:trPr>
        <w:tc>
          <w:tcPr>
            <w:tcW w:type="dxa" w:w="20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Bakım &amp; Utility</w:t>
            </w:r>
          </w:p>
        </w:tc>
        <w:tc>
          <w:tcPr>
            <w:tcW w:type="dxa" w:w="432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Varlık güvenilirliği, PM/CM, kritik yedek, utility, LOTO ve bakım kayıtları.</w:t>
            </w:r>
          </w:p>
        </w:tc>
        <w:tc>
          <w:tcPr>
            <w:tcW w:type="dxa" w:w="326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Ekipmanı güvenli duruma alma; kalibrasyon/validasyon etkisini QA onayı olmadan kapatamaz.</w:t>
            </w:r>
          </w:p>
        </w:tc>
      </w:tr>
    </w:tbl>
    <w:p>
      <w:pPr>
        <w:spacing w:after="40"/>
        <w:widowControl w:val="1"/>
      </w:pPr>
    </w:p>
    <w:p>
      <w:pPr>
        <w:pStyle w:val="Heading2"/>
        <w:keepNext/>
        <w:widowControl w:val="1"/>
      </w:pPr>
      <w:r>
        <w:rPr>
          <w:rFonts w:ascii="Arial" w:hAnsi="Arial" w:eastAsia="Arial"/>
          <w:b/>
          <w:color w:val="183A59"/>
          <w:sz w:val="25"/>
        </w:rPr>
        <w:t>5.3 Kontrol, müşteri ve destek fonksiyonları</w:t>
      </w:r>
    </w:p>
    <w:tbl>
      <w:tblPr>
        <w:tblStyle w:val="TableGrid"/>
        <w:tblW w:type="dxa" w:w="963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50"/>
        <w:gridCol w:w="4320"/>
        <w:gridCol w:w="3260"/>
      </w:tblGrid>
      <w:tr>
        <w:trPr>
          <w:tblHeader w:val="true"/>
          <w:cantSplit w:val="1"/>
        </w:trPr>
        <w:tc>
          <w:tcPr>
            <w:tcW w:type="dxa" w:w="205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Rol / fonksiyon</w:t>
            </w:r>
          </w:p>
        </w:tc>
        <w:tc>
          <w:tcPr>
            <w:tcW w:type="dxa" w:w="432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Hesap verdiği ana çıktılar</w:t>
            </w:r>
          </w:p>
        </w:tc>
        <w:tc>
          <w:tcPr>
            <w:tcW w:type="dxa" w:w="326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Kritik yetki ve sınır</w:t>
            </w:r>
          </w:p>
        </w:tc>
      </w:tr>
      <w:tr>
        <w:trPr>
          <w:cantSplit w:val="1"/>
        </w:trPr>
        <w:tc>
          <w:tcPr>
            <w:tcW w:type="dxa" w:w="20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QC &amp; Laboratuvar</w:t>
            </w:r>
          </w:p>
        </w:tc>
        <w:tc>
          <w:tcPr>
            <w:tcW w:type="dxa" w:w="432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Numune, test/muayene, MTC-heat izlenebilirliği, boyut, kaynak/NDT, kaplama, ham veri, OOS/NCR, cihaz uygunluğu ve CoA/uygunluk dosyası girdisi.</w:t>
            </w:r>
          </w:p>
        </w:tc>
        <w:tc>
          <w:tcPr>
            <w:tcW w:type="dxa" w:w="326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Geçersiz test/muayeneyi reddetme, OOS/NCR başlatma ve sonuç bütünlüğünü koruma. Üretim baskısıyla sonucu değiştiremez.</w:t>
            </w:r>
          </w:p>
        </w:tc>
      </w:tr>
      <w:tr>
        <w:trPr>
          <w:cantSplit w:val="1"/>
        </w:trPr>
        <w:tc>
          <w:tcPr>
            <w:tcW w:type="dxa" w:w="20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Yetkili Ürün Serbest Bırakma Rolü</w:t>
            </w:r>
          </w:p>
        </w:tc>
        <w:tc>
          <w:tcPr>
            <w:tcW w:type="dxa" w:w="432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Batch/iş emri dosyası, spesifikasyon/teknik resim, test-muayene, OOS/NCR ve statü kanıtına göre lot/ürün kararı.</w:t>
            </w:r>
          </w:p>
        </w:tc>
        <w:tc>
          <w:tcPr>
            <w:tcW w:type="dxa" w:w="326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RELEASE/HOLD/REJECT; yalnız yazılı yetkilendirme ve vekâletle kullanılır. Üretim veya satış rolüyle birleşemez.</w:t>
            </w:r>
          </w:p>
        </w:tc>
      </w:tr>
      <w:tr>
        <w:trPr>
          <w:cantSplit w:val="1"/>
        </w:trPr>
        <w:tc>
          <w:tcPr>
            <w:tcW w:type="dxa" w:w="20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Ticari &amp; Teknik Servis</w:t>
            </w:r>
          </w:p>
        </w:tc>
        <w:tc>
          <w:tcPr>
            <w:tcW w:type="dxa" w:w="432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Sözleşme/teknik şart review, tahmin, müşteri iletişimi, kalıp montaj/devreye alma dâhil saha desteği ve şikâyet girdisi.</w:t>
            </w:r>
          </w:p>
        </w:tc>
        <w:tc>
          <w:tcPr>
            <w:tcW w:type="dxa" w:w="326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Ticari teklif ve müşteri iletişimi; ürün claim’i, taviz veya uygunsuz sevki tek başına onaylayamaz.</w:t>
            </w:r>
          </w:p>
        </w:tc>
      </w:tr>
      <w:tr>
        <w:trPr>
          <w:cantSplit w:val="1"/>
        </w:trPr>
        <w:tc>
          <w:tcPr>
            <w:tcW w:type="dxa" w:w="20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Finans &amp; İdari İşler</w:t>
            </w:r>
          </w:p>
        </w:tc>
        <w:tc>
          <w:tcPr>
            <w:tcW w:type="dxa" w:w="432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Bütçe, nakit, ödeme kontrolü, idari hizmet ve mali kayıt.</w:t>
            </w:r>
          </w:p>
        </w:tc>
        <w:tc>
          <w:tcPr>
            <w:tcW w:type="dxa" w:w="326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Finansal limitler içinde kontrol/onay; teknik kabul, malzeme statüsü veya kalite release kararı veremez.</w:t>
            </w:r>
          </w:p>
        </w:tc>
      </w:tr>
      <w:tr>
        <w:trPr>
          <w:cantSplit w:val="1"/>
        </w:trPr>
        <w:tc>
          <w:tcPr>
            <w:tcW w:type="dxa" w:w="20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İK / Yetkinlik Koordinasyonu</w:t>
            </w:r>
          </w:p>
        </w:tc>
        <w:tc>
          <w:tcPr>
            <w:tcW w:type="dxa" w:w="432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Kadro, işe alım, eğitim kaydı, yetkinlik matrisi ve performans döngüsü.</w:t>
            </w:r>
          </w:p>
        </w:tc>
        <w:tc>
          <w:tcPr>
            <w:tcW w:type="dxa" w:w="326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Personel sürecini yönetir; teknik yetkiyi ilgili fonksiyon sahibinin değerlendirmesi olmadan veremez.</w:t>
            </w:r>
          </w:p>
        </w:tc>
      </w:tr>
      <w:tr>
        <w:trPr>
          <w:cantSplit w:val="1"/>
        </w:trPr>
        <w:tc>
          <w:tcPr>
            <w:tcW w:type="dxa" w:w="20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IT/OT &amp; Veri Desteği</w:t>
            </w:r>
          </w:p>
        </w:tc>
        <w:tc>
          <w:tcPr>
            <w:tcW w:type="dxa" w:w="432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Erişim, yedek, siber güvenlik, sistem sürekliliği ve audit trail.</w:t>
            </w:r>
          </w:p>
        </w:tc>
        <w:tc>
          <w:tcPr>
            <w:tcW w:type="dxa" w:w="326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Teknik erişim ve kurtarma; kayıt sahibinin onayı/audit trail olmadan kontrollü veriyi değiştiremez.</w:t>
            </w:r>
          </w:p>
        </w:tc>
      </w:tr>
    </w:tbl>
    <w:p>
      <w:pPr>
        <w:spacing w:after="40"/>
        <w:widowControl w:val="1"/>
      </w:pPr>
    </w:p>
    <w:p>
      <w:pPr>
        <w:pStyle w:val="Heading1"/>
        <w:keepNext/>
        <w:pageBreakBefore w:val="0"/>
        <w:widowControl w:val="1"/>
      </w:pPr>
      <w:r>
        <w:rPr>
          <w:rFonts w:ascii="Arial" w:hAnsi="Arial" w:eastAsia="Arial"/>
          <w:b/>
          <w:color w:val="197B96"/>
          <w:sz w:val="34"/>
        </w:rPr>
        <w:t>6. Raporlama hatları ve süreç arayüzleri</w:t>
      </w:r>
    </w:p>
    <w:tbl>
      <w:tblPr>
        <w:tblStyle w:val="TableGrid"/>
        <w:tblW w:type="dxa" w:w="963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50"/>
        <w:gridCol w:w="4810"/>
        <w:gridCol w:w="2770"/>
      </w:tblGrid>
      <w:tr>
        <w:trPr>
          <w:tblHeader w:val="true"/>
          <w:cantSplit w:val="1"/>
        </w:trPr>
        <w:tc>
          <w:tcPr>
            <w:tcW w:type="dxa" w:w="205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Arayüz</w:t>
            </w:r>
          </w:p>
        </w:tc>
        <w:tc>
          <w:tcPr>
            <w:tcW w:type="dxa" w:w="481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Zorunlu devir girdisi</w:t>
            </w:r>
          </w:p>
        </w:tc>
        <w:tc>
          <w:tcPr>
            <w:tcW w:type="dxa" w:w="277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Kabul eden / kayıt</w:t>
            </w:r>
          </w:p>
        </w:tc>
      </w:tr>
      <w:tr>
        <w:trPr>
          <w:cantSplit w:val="1"/>
        </w:trPr>
        <w:tc>
          <w:tcPr>
            <w:tcW w:type="dxa" w:w="20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Ticari → AR-GE/Mühendislik/QA/Operasyon</w:t>
            </w:r>
          </w:p>
        </w:tc>
        <w:tc>
          <w:tcPr>
            <w:tcW w:type="dxa" w:w="481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Sözleşme, teknik şart, hacim, kullanım ve mevzuat gereksinimi.</w:t>
            </w:r>
          </w:p>
        </w:tc>
        <w:tc>
          <w:tcPr>
            <w:tcW w:type="dxa" w:w="277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Contract/requirement review; uygulanabilirlik ve risk kararı.</w:t>
            </w:r>
          </w:p>
        </w:tc>
      </w:tr>
      <w:tr>
        <w:trPr>
          <w:cantSplit w:val="1"/>
        </w:trPr>
        <w:tc>
          <w:tcPr>
            <w:tcW w:type="dxa" w:w="20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AR-GE/Mühendislik → QA/QC/Üretim</w:t>
            </w:r>
          </w:p>
        </w:tc>
        <w:tc>
          <w:tcPr>
            <w:tcW w:type="dxa" w:w="481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Onaylı reçete veya tasarım/teknik resim-BOM-WPS; spesifikasyon, test/muayene planı, validasyon ve MOC.</w:t>
            </w:r>
          </w:p>
        </w:tc>
        <w:tc>
          <w:tcPr>
            <w:tcW w:type="dxa" w:w="277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Master data onayı; eğitim ve üretime geçiş checklist’i.</w:t>
            </w:r>
          </w:p>
        </w:tc>
      </w:tr>
      <w:tr>
        <w:trPr>
          <w:cantSplit w:val="1"/>
        </w:trPr>
        <w:tc>
          <w:tcPr>
            <w:tcW w:type="dxa" w:w="20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Satınalma → Depo/QA-QC</w:t>
            </w:r>
          </w:p>
        </w:tc>
        <w:tc>
          <w:tcPr>
            <w:tcW w:type="dxa" w:w="481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PO, teknik şart, ASL durumu, CoA/SDS ve teslimat bilgisi.</w:t>
            </w:r>
          </w:p>
        </w:tc>
        <w:tc>
          <w:tcPr>
            <w:tcW w:type="dxa" w:w="277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Teslim alma ve giriş kalite kaydı; lot statüsü.</w:t>
            </w:r>
          </w:p>
        </w:tc>
      </w:tr>
      <w:tr>
        <w:trPr>
          <w:cantSplit w:val="1"/>
        </w:trPr>
        <w:tc>
          <w:tcPr>
            <w:tcW w:type="dxa" w:w="20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Depo → Üretim</w:t>
            </w:r>
          </w:p>
        </w:tc>
        <w:tc>
          <w:tcPr>
            <w:tcW w:type="dxa" w:w="481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Doğru malzeme, doğru lot/heat, RELEASE statüsü, miktar ve izlenebilirlik.</w:t>
            </w:r>
          </w:p>
        </w:tc>
        <w:tc>
          <w:tcPr>
            <w:tcW w:type="dxa" w:w="277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Malzeme issue/return kaydı; batch veya iş emri/heat linkage.</w:t>
            </w:r>
          </w:p>
        </w:tc>
      </w:tr>
      <w:tr>
        <w:trPr>
          <w:cantSplit w:val="1"/>
        </w:trPr>
        <w:tc>
          <w:tcPr>
            <w:tcW w:type="dxa" w:w="20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Üretim → QC/QA</w:t>
            </w:r>
          </w:p>
        </w:tc>
        <w:tc>
          <w:tcPr>
            <w:tcW w:type="dxa" w:w="481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Tam batch/iş emri kaydı, IPC/ITP, sapmalar, numune veya inspection dosyası ve temizlik/hat serbestliği.</w:t>
            </w:r>
          </w:p>
        </w:tc>
        <w:tc>
          <w:tcPr>
            <w:tcW w:type="dxa" w:w="277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Test-muayene/OOS-NCR ve batch/imalat review paketi.</w:t>
            </w:r>
          </w:p>
        </w:tc>
      </w:tr>
      <w:tr>
        <w:trPr>
          <w:cantSplit w:val="1"/>
        </w:trPr>
        <w:tc>
          <w:tcPr>
            <w:tcW w:type="dxa" w:w="20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QC → Yetkili Release Rolü</w:t>
            </w:r>
          </w:p>
        </w:tc>
        <w:tc>
          <w:tcPr>
            <w:tcW w:type="dxa" w:w="481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Doğrulanmış test/muayene sonucu, ham veri bağlantısı, OOS/NCR ve cihaz/metot uygunluğu.</w:t>
            </w:r>
          </w:p>
        </w:tc>
        <w:tc>
          <w:tcPr>
            <w:tcW w:type="dxa" w:w="277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Release/HOLD/REJECT kararı ve CoA/uygunluk dosyası.</w:t>
            </w:r>
          </w:p>
        </w:tc>
      </w:tr>
      <w:tr>
        <w:trPr>
          <w:cantSplit w:val="1"/>
        </w:trPr>
        <w:tc>
          <w:tcPr>
            <w:tcW w:type="dxa" w:w="20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Release → Depo/Ticari</w:t>
            </w:r>
          </w:p>
        </w:tc>
        <w:tc>
          <w:tcPr>
            <w:tcW w:type="dxa" w:w="481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Lot/seri statüsü, miktar, etiket-işaretleme, CoA/uygunluk dosyası ve sevk kısıtları.</w:t>
            </w:r>
          </w:p>
        </w:tc>
        <w:tc>
          <w:tcPr>
            <w:tcW w:type="dxa" w:w="277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WMS/ERP statü güncellemesi; sevk kontrolü.</w:t>
            </w:r>
          </w:p>
        </w:tc>
      </w:tr>
      <w:tr>
        <w:trPr>
          <w:cantSplit w:val="1"/>
        </w:trPr>
        <w:tc>
          <w:tcPr>
            <w:tcW w:type="dxa" w:w="20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Saha/Ticari → IMS</w:t>
            </w:r>
          </w:p>
        </w:tc>
        <w:tc>
          <w:tcPr>
            <w:tcW w:type="dxa" w:w="481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Şikâyet, uygulama verisi, lot, fotoğraf/numune ve müşteri etkisi.</w:t>
            </w:r>
          </w:p>
        </w:tc>
        <w:tc>
          <w:tcPr>
            <w:tcW w:type="dxa" w:w="277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Complaint/NCR/CAPA/MOC kaydı ve geri bildirim.</w:t>
            </w:r>
          </w:p>
        </w:tc>
      </w:tr>
    </w:tbl>
    <w:p>
      <w:pPr>
        <w:spacing w:after="40"/>
        <w:widowControl w:val="1"/>
      </w:pPr>
    </w:p>
    <w:tbl>
      <w:tblPr>
        <w:tblW w:type="dxa" w:w="957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570"/>
      </w:tblGrid>
      <w:tr>
        <w:trPr>
          <w:cantSplit w:val="1"/>
        </w:trPr>
        <w:tc>
          <w:tcPr>
            <w:tcW w:type="dxa" w:w="9570"/>
            <w:shd w:fill="EAF2F6"/>
            <w:tcBorders>
              <w:top w:val="single" w:sz="5" w:space="0" w:color="C7D7E2"/>
              <w:left w:val="single" w:sz="5" w:space="0" w:color="C7D7E2"/>
              <w:bottom w:val="single" w:sz="5" w:space="0" w:color="C7D7E2"/>
              <w:right w:val="single" w:sz="5" w:space="0" w:color="C7D7E2"/>
              <w:insideH w:val="single" w:sz="5" w:space="0" w:color="C7D7E2"/>
              <w:insideV w:val="single" w:sz="5" w:space="0" w:color="C7D7E2"/>
            </w:tcBorders>
            <w:vAlign w:val="center"/>
            <w:tcMar>
              <w:top w:w="125" w:type="dxa"/>
              <w:bottom w:w="125" w:type="dxa"/>
              <w:start w:w="180" w:type="dxa"/>
              <w:end w:w="18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 w:eastAsia="Arial"/>
                <w:b/>
                <w:color w:val="183A59"/>
                <w:sz w:val="21"/>
              </w:rPr>
              <w:t>Devir kuralı</w:t>
            </w:r>
          </w:p>
          <w:p>
            <w:pPr>
              <w:spacing w:after="0" w:line="269" w:lineRule="auto"/>
            </w:pPr>
            <w:r>
              <w:rPr>
                <w:rFonts w:ascii="Arial" w:hAnsi="Arial" w:eastAsia="Arial"/>
                <w:color w:val="142536"/>
                <w:sz w:val="21"/>
              </w:rPr>
              <w:t>Sözlü veya eksik devir, kontrollü kabul sayılmaz. Girdi sahibi kanıtı tamamlamadan sonraki fonksiyon riski sessizce devralamaz; HOLD ve eskalasyon uygulanır.</w:t>
            </w:r>
          </w:p>
        </w:tc>
      </w:tr>
    </w:tbl>
    <w:p>
      <w:pPr>
        <w:spacing w:after="20"/>
        <w:widowControl w:val="1"/>
      </w:pPr>
    </w:p>
    <w:p>
      <w:pPr>
        <w:pStyle w:val="Heading1"/>
        <w:keepNext/>
        <w:pageBreakBefore w:val="0"/>
        <w:widowControl w:val="1"/>
      </w:pPr>
      <w:r>
        <w:rPr>
          <w:rFonts w:ascii="Arial" w:hAnsi="Arial" w:eastAsia="Arial"/>
          <w:b/>
          <w:color w:val="197B96"/>
          <w:sz w:val="34"/>
        </w:rPr>
        <w:t>7. Delegation of Authority — karar mimarisi</w:t>
      </w:r>
    </w:p>
    <w:p>
      <w:pPr>
        <w:spacing w:after="120"/>
        <w:widowControl w:val="1"/>
      </w:pPr>
      <w:r>
        <w:rPr>
          <w:rFonts w:ascii="Arial" w:hAnsi="Arial" w:eastAsia="Arial"/>
          <w:color w:val="142536"/>
          <w:sz w:val="21"/>
        </w:rPr>
        <w:t>DoA kararın seviyesini, hazırlayıcısını, onayını, bağımsız kontrolünü ve kayıt gereğini tanımlar. Parasal limitler ayrıca Finansal DoA ekinde yönetilir.</w:t>
      </w:r>
    </w:p>
    <w:tbl>
      <w:tblPr>
        <w:tblStyle w:val="TableGrid"/>
        <w:tblW w:type="dxa" w:w="963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50"/>
        <w:gridCol w:w="2790"/>
        <w:gridCol w:w="2760"/>
        <w:gridCol w:w="2730"/>
      </w:tblGrid>
      <w:tr>
        <w:trPr>
          <w:tblHeader w:val="true"/>
          <w:cantSplit w:val="1"/>
        </w:trPr>
        <w:tc>
          <w:tcPr>
            <w:tcW w:type="dxa" w:w="135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Seviye</w:t>
            </w:r>
          </w:p>
        </w:tc>
        <w:tc>
          <w:tcPr>
            <w:tcW w:type="dxa" w:w="279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Karar türü</w:t>
            </w:r>
          </w:p>
        </w:tc>
        <w:tc>
          <w:tcPr>
            <w:tcW w:type="dxa" w:w="276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Asgari kontrol</w:t>
            </w:r>
          </w:p>
        </w:tc>
        <w:tc>
          <w:tcPr>
            <w:tcW w:type="dxa" w:w="273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Örnek</w:t>
            </w:r>
          </w:p>
        </w:tc>
      </w:tr>
      <w:tr>
        <w:trPr>
          <w:cantSplit w:val="1"/>
        </w:trPr>
        <w:tc>
          <w:tcPr>
            <w:tcW w:type="dxa" w:w="13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D1 — Rutin</w:t>
            </w:r>
          </w:p>
        </w:tc>
        <w:tc>
          <w:tcPr>
            <w:tcW w:type="dxa" w:w="279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Onaylı standart ve limit içinde tek fonksiyon kararı.</w:t>
            </w:r>
          </w:p>
        </w:tc>
        <w:tc>
          <w:tcPr>
            <w:tcW w:type="dxa" w:w="276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Yetkin kişi + işlem kaydı.</w:t>
            </w:r>
          </w:p>
        </w:tc>
        <w:tc>
          <w:tcPr>
            <w:tcW w:type="dxa" w:w="273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Vardiya görevi, onaylı stoktan malzeme issue, planlı bakım.</w:t>
            </w:r>
          </w:p>
        </w:tc>
      </w:tr>
      <w:tr>
        <w:trPr>
          <w:cantSplit w:val="1"/>
        </w:trPr>
        <w:tc>
          <w:tcPr>
            <w:tcW w:type="dxa" w:w="13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D2 — Çapraz fonksiyon</w:t>
            </w:r>
          </w:p>
        </w:tc>
        <w:tc>
          <w:tcPr>
            <w:tcW w:type="dxa" w:w="279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Birden fazla süreci/riski etkileyen taktik karar.</w:t>
            </w:r>
          </w:p>
        </w:tc>
        <w:tc>
          <w:tcPr>
            <w:tcW w:type="dxa" w:w="276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Süreç sahibi + etkilenen fonksiyon + QA/HSE gereğinde.</w:t>
            </w:r>
          </w:p>
        </w:tc>
        <w:tc>
          <w:tcPr>
            <w:tcW w:type="dxa" w:w="273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Üretim plan revizyonu, alternatif tedarik planı, orta ölçekli proses ayarı.</w:t>
            </w:r>
          </w:p>
        </w:tc>
      </w:tr>
      <w:tr>
        <w:trPr>
          <w:cantSplit w:val="1"/>
        </w:trPr>
        <w:tc>
          <w:tcPr>
            <w:tcW w:type="dxa" w:w="13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D3 — Yönetim / risk kabulü</w:t>
            </w:r>
          </w:p>
        </w:tc>
        <w:tc>
          <w:tcPr>
            <w:tcW w:type="dxa" w:w="279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Politika, yüksek risk, kaynak veya organizasyon etkisi.</w:t>
            </w:r>
          </w:p>
        </w:tc>
        <w:tc>
          <w:tcPr>
            <w:tcW w:type="dxa" w:w="276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Genel Müdür onayı + kayıtlı risk/MOC.</w:t>
            </w:r>
          </w:p>
        </w:tc>
        <w:tc>
          <w:tcPr>
            <w:tcW w:type="dxa" w:w="273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Kritik yatırım, yeni ürün/hat, majör organizasyon değişikliği.</w:t>
            </w:r>
          </w:p>
        </w:tc>
      </w:tr>
      <w:tr>
        <w:trPr>
          <w:cantSplit w:val="1"/>
        </w:trPr>
        <w:tc>
          <w:tcPr>
            <w:tcW w:type="dxa" w:w="13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D4 — Kriz</w:t>
            </w:r>
          </w:p>
        </w:tc>
        <w:tc>
          <w:tcPr>
            <w:tcW w:type="dxa" w:w="279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Can, çevre, büyük ürün/itibar veya iş sürekliliği olayı.</w:t>
            </w:r>
          </w:p>
        </w:tc>
        <w:tc>
          <w:tcPr>
            <w:tcW w:type="dxa" w:w="276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Kriz lideri; hızlı kayıt, sonradan resmi review.</w:t>
            </w:r>
          </w:p>
        </w:tc>
        <w:tc>
          <w:tcPr>
            <w:tcW w:type="dxa" w:w="273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Tahliye, büyük recall, uzun tesis duruşu, yasal kriz bildirimi.</w:t>
            </w:r>
          </w:p>
        </w:tc>
      </w:tr>
    </w:tbl>
    <w:p>
      <w:pPr>
        <w:spacing w:after="40"/>
        <w:widowControl w:val="1"/>
      </w:pPr>
    </w:p>
    <w:p>
      <w:pPr>
        <w:pStyle w:val="Heading2"/>
        <w:keepNext/>
        <w:widowControl w:val="1"/>
      </w:pPr>
      <w:r>
        <w:rPr>
          <w:rFonts w:ascii="Arial" w:hAnsi="Arial" w:eastAsia="Arial"/>
          <w:b/>
          <w:color w:val="183A59"/>
          <w:sz w:val="25"/>
        </w:rPr>
        <w:t>7.1 Kurumsal karar hakları</w:t>
      </w:r>
    </w:p>
    <w:tbl>
      <w:tblPr>
        <w:tblStyle w:val="TableGrid"/>
        <w:tblW w:type="dxa" w:w="963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2350"/>
        <w:gridCol w:w="2370"/>
        <w:gridCol w:w="2710"/>
      </w:tblGrid>
      <w:tr>
        <w:trPr>
          <w:tblHeader w:val="true"/>
          <w:cantSplit w:val="1"/>
        </w:trPr>
        <w:tc>
          <w:tcPr>
            <w:tcW w:type="dxa" w:w="220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Karar</w:t>
            </w:r>
          </w:p>
        </w:tc>
        <w:tc>
          <w:tcPr>
            <w:tcW w:type="dxa" w:w="235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Öneren / hazırlayan</w:t>
            </w:r>
          </w:p>
        </w:tc>
        <w:tc>
          <w:tcPr>
            <w:tcW w:type="dxa" w:w="237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Onay / hesap veren</w:t>
            </w:r>
          </w:p>
        </w:tc>
        <w:tc>
          <w:tcPr>
            <w:tcW w:type="dxa" w:w="271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Bağımsız kontrol veya veto</w:t>
            </w:r>
          </w:p>
        </w:tc>
      </w:tr>
      <w:tr>
        <w:trPr>
          <w:cantSplit w:val="1"/>
        </w:trPr>
        <w:tc>
          <w:tcPr>
            <w:tcW w:type="dxa" w:w="22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5"/>
              </w:rPr>
              <w:t>Politika, CDD, IMS kapsamı</w:t>
            </w:r>
          </w:p>
        </w:tc>
        <w:tc>
          <w:tcPr>
            <w:tcW w:type="dxa" w:w="23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QA/IMS + Yönetim Ekibi</w:t>
            </w:r>
          </w:p>
        </w:tc>
        <w:tc>
          <w:tcPr>
            <w:tcW w:type="dxa" w:w="237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Genel Müdür</w:t>
            </w:r>
          </w:p>
        </w:tc>
        <w:tc>
          <w:tcPr>
            <w:tcW w:type="dxa" w:w="271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Yasal/standart uygunluk review</w:t>
            </w:r>
          </w:p>
        </w:tc>
      </w:tr>
      <w:tr>
        <w:trPr>
          <w:cantSplit w:val="1"/>
        </w:trPr>
        <w:tc>
          <w:tcPr>
            <w:tcW w:type="dxa" w:w="22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5"/>
              </w:rPr>
              <w:t>Organizasyon veya rol birleşimi</w:t>
            </w:r>
          </w:p>
        </w:tc>
        <w:tc>
          <w:tcPr>
            <w:tcW w:type="dxa" w:w="23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İlgili M1 + İK + QA/IMS</w:t>
            </w:r>
          </w:p>
        </w:tc>
        <w:tc>
          <w:tcPr>
            <w:tcW w:type="dxa" w:w="237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Genel Müdür</w:t>
            </w:r>
          </w:p>
        </w:tc>
        <w:tc>
          <w:tcPr>
            <w:tcW w:type="dxa" w:w="271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SoD, kapasite, yetkinlik ve MOC</w:t>
            </w:r>
          </w:p>
        </w:tc>
      </w:tr>
      <w:tr>
        <w:trPr>
          <w:cantSplit w:val="1"/>
        </w:trPr>
        <w:tc>
          <w:tcPr>
            <w:tcW w:type="dxa" w:w="22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5"/>
              </w:rPr>
              <w:t>Yeni ürün/tasarım/reçete/iddia</w:t>
            </w:r>
          </w:p>
        </w:tc>
        <w:tc>
          <w:tcPr>
            <w:tcW w:type="dxa" w:w="23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AR-GE/Mühendislik / Ticari girdisi</w:t>
            </w:r>
          </w:p>
        </w:tc>
        <w:tc>
          <w:tcPr>
            <w:tcW w:type="dxa" w:w="237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Genel Müdür veya yetkilendirilmiş D3</w:t>
            </w:r>
          </w:p>
        </w:tc>
        <w:tc>
          <w:tcPr>
            <w:tcW w:type="dxa" w:w="271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QA/QC validasyon ve mevzuat uygunluğu</w:t>
            </w:r>
          </w:p>
        </w:tc>
      </w:tr>
      <w:tr>
        <w:trPr>
          <w:cantSplit w:val="1"/>
        </w:trPr>
        <w:tc>
          <w:tcPr>
            <w:tcW w:type="dxa" w:w="22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5"/>
              </w:rPr>
              <w:t>Tedarikçi onayı/değişikliği</w:t>
            </w:r>
          </w:p>
        </w:tc>
        <w:tc>
          <w:tcPr>
            <w:tcW w:type="dxa" w:w="23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SCM + teknik sahibi</w:t>
            </w:r>
          </w:p>
        </w:tc>
        <w:tc>
          <w:tcPr>
            <w:tcW w:type="dxa" w:w="237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Fonksiyon sahibi</w:t>
            </w:r>
          </w:p>
        </w:tc>
        <w:tc>
          <w:tcPr>
            <w:tcW w:type="dxa" w:w="271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QA/QC bağımsız uygunluk onayı</w:t>
            </w:r>
          </w:p>
        </w:tc>
      </w:tr>
      <w:tr>
        <w:trPr>
          <w:cantSplit w:val="1"/>
        </w:trPr>
        <w:tc>
          <w:tcPr>
            <w:tcW w:type="dxa" w:w="22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5"/>
              </w:rPr>
              <w:t>Üretim başlatma</w:t>
            </w:r>
          </w:p>
        </w:tc>
        <w:tc>
          <w:tcPr>
            <w:tcW w:type="dxa" w:w="23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Planlama / Üretim</w:t>
            </w:r>
          </w:p>
        </w:tc>
        <w:tc>
          <w:tcPr>
            <w:tcW w:type="dxa" w:w="237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Fabrika Direktörü veya delegesi</w:t>
            </w:r>
          </w:p>
        </w:tc>
        <w:tc>
          <w:tcPr>
            <w:tcW w:type="dxa" w:w="271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Malzeme, ekipman, doküman, HSE readiness</w:t>
            </w:r>
          </w:p>
        </w:tc>
      </w:tr>
      <w:tr>
        <w:trPr>
          <w:cantSplit w:val="1"/>
        </w:trPr>
        <w:tc>
          <w:tcPr>
            <w:tcW w:type="dxa" w:w="22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5"/>
              </w:rPr>
              <w:t>Lot/ürün statüsü / CoA-Uygunluk dosyası</w:t>
            </w:r>
          </w:p>
        </w:tc>
        <w:tc>
          <w:tcPr>
            <w:tcW w:type="dxa" w:w="23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QC test/muayene paketi</w:t>
            </w:r>
          </w:p>
        </w:tc>
        <w:tc>
          <w:tcPr>
            <w:tcW w:type="dxa" w:w="237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Yetkili Release Rolü</w:t>
            </w:r>
          </w:p>
        </w:tc>
        <w:tc>
          <w:tcPr>
            <w:tcW w:type="dxa" w:w="271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QA sistemi; OOS/NCR kapanış şartı</w:t>
            </w:r>
          </w:p>
        </w:tc>
      </w:tr>
      <w:tr>
        <w:trPr>
          <w:cantSplit w:val="1"/>
        </w:trPr>
        <w:tc>
          <w:tcPr>
            <w:tcW w:type="dxa" w:w="22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5"/>
              </w:rPr>
              <w:t>Stop-work / HOLD</w:t>
            </w:r>
          </w:p>
        </w:tc>
        <w:tc>
          <w:tcPr>
            <w:tcW w:type="dxa" w:w="23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Her yetkili çalışan</w:t>
            </w:r>
          </w:p>
        </w:tc>
        <w:tc>
          <w:tcPr>
            <w:tcW w:type="dxa" w:w="237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İlk karar derhal geçerli</w:t>
            </w:r>
          </w:p>
        </w:tc>
        <w:tc>
          <w:tcPr>
            <w:tcW w:type="dxa" w:w="271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Yalnız risk sahibi + QA/HSE kontrollü kaldırma</w:t>
            </w:r>
          </w:p>
        </w:tc>
      </w:tr>
      <w:tr>
        <w:trPr>
          <w:cantSplit w:val="1"/>
        </w:trPr>
        <w:tc>
          <w:tcPr>
            <w:tcW w:type="dxa" w:w="22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5"/>
              </w:rPr>
              <w:t>Majör CAPA/MOC kapatma</w:t>
            </w:r>
          </w:p>
        </w:tc>
        <w:tc>
          <w:tcPr>
            <w:tcW w:type="dxa" w:w="23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Aksiyon/değişiklik sahibi</w:t>
            </w:r>
          </w:p>
        </w:tc>
        <w:tc>
          <w:tcPr>
            <w:tcW w:type="dxa" w:w="237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Süreç sahibi</w:t>
            </w:r>
          </w:p>
        </w:tc>
        <w:tc>
          <w:tcPr>
            <w:tcW w:type="dxa" w:w="271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QA/IMS etkinlik doğrulaması</w:t>
            </w:r>
          </w:p>
        </w:tc>
      </w:tr>
      <w:tr>
        <w:trPr>
          <w:cantSplit w:val="1"/>
        </w:trPr>
        <w:tc>
          <w:tcPr>
            <w:tcW w:type="dxa" w:w="22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5"/>
              </w:rPr>
              <w:t>Acil sevk / taviz</w:t>
            </w:r>
          </w:p>
        </w:tc>
        <w:tc>
          <w:tcPr>
            <w:tcW w:type="dxa" w:w="23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Ticari + Operasyon</w:t>
            </w:r>
          </w:p>
        </w:tc>
        <w:tc>
          <w:tcPr>
            <w:tcW w:type="dxa" w:w="237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Genel Müdür / belirlenmiş D3</w:t>
            </w:r>
          </w:p>
        </w:tc>
        <w:tc>
          <w:tcPr>
            <w:tcW w:type="dxa" w:w="271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QA ve müşteri/yasal şart; uygunsuz release yasak</w:t>
            </w:r>
          </w:p>
        </w:tc>
      </w:tr>
    </w:tbl>
    <w:p>
      <w:pPr>
        <w:spacing w:after="40"/>
        <w:widowControl w:val="1"/>
      </w:pPr>
    </w:p>
    <w:tbl>
      <w:tblPr>
        <w:tblW w:type="dxa" w:w="957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570"/>
      </w:tblGrid>
      <w:tr>
        <w:trPr>
          <w:cantSplit w:val="1"/>
        </w:trPr>
        <w:tc>
          <w:tcPr>
            <w:tcW w:type="dxa" w:w="9570"/>
            <w:shd w:fill="FFF4E5"/>
            <w:tcBorders>
              <w:top w:val="single" w:sz="5" w:space="0" w:color="E7B96A"/>
              <w:left w:val="single" w:sz="5" w:space="0" w:color="E7B96A"/>
              <w:bottom w:val="single" w:sz="5" w:space="0" w:color="E7B96A"/>
              <w:right w:val="single" w:sz="5" w:space="0" w:color="E7B96A"/>
              <w:insideH w:val="single" w:sz="5" w:space="0" w:color="E7B96A"/>
              <w:insideV w:val="single" w:sz="5" w:space="0" w:color="E7B96A"/>
            </w:tcBorders>
            <w:vAlign w:val="center"/>
            <w:tcMar>
              <w:top w:w="125" w:type="dxa"/>
              <w:bottom w:w="125" w:type="dxa"/>
              <w:start w:w="180" w:type="dxa"/>
              <w:end w:w="18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 w:eastAsia="Arial"/>
                <w:b/>
                <w:color w:val="9B1C1C"/>
                <w:sz w:val="21"/>
              </w:rPr>
              <w:t>Devredilemeyen yetkiler</w:t>
            </w:r>
          </w:p>
          <w:p>
            <w:pPr>
              <w:spacing w:after="0" w:line="269" w:lineRule="auto"/>
            </w:pPr>
            <w:r>
              <w:rPr>
                <w:rFonts w:ascii="Arial" w:hAnsi="Arial" w:eastAsia="Arial"/>
                <w:color w:val="142536"/>
                <w:sz w:val="21"/>
              </w:rPr>
              <w:t>Yasal sorumluluk, yönetim sistemi etkinliği, bağımsız audit sonucu, ürün statüsü, HSE stop-work ve veri bütünlüğü kararı yalnız yazılı sınırlar içinde kullanılabilir; ticari veya üretim aciliyeti bu kontrolleri askıya alamaz.</w:t>
            </w:r>
          </w:p>
        </w:tc>
      </w:tr>
    </w:tbl>
    <w:p>
      <w:pPr>
        <w:spacing w:after="20"/>
        <w:widowControl w:val="1"/>
      </w:pPr>
    </w:p>
    <w:p>
      <w:pPr>
        <w:pStyle w:val="Heading1"/>
        <w:keepNext/>
        <w:pageBreakBefore w:val="0"/>
        <w:widowControl w:val="1"/>
      </w:pPr>
      <w:r>
        <w:rPr>
          <w:rFonts w:ascii="Arial" w:hAnsi="Arial" w:eastAsia="Arial"/>
          <w:b/>
          <w:color w:val="197B96"/>
          <w:sz w:val="34"/>
        </w:rPr>
        <w:t>8. Uçtan uca kurumsal RACI</w:t>
      </w:r>
    </w:p>
    <w:p>
      <w:pPr>
        <w:spacing w:after="120"/>
        <w:widowControl w:val="1"/>
      </w:pPr>
      <w:r>
        <w:rPr>
          <w:rFonts w:ascii="Arial" w:hAnsi="Arial" w:eastAsia="Arial"/>
          <w:color w:val="142536"/>
          <w:sz w:val="21"/>
        </w:rPr>
        <w:t>R = işi yapan, A = tek hesap veren, C = karar öncesi görüşü alınan, I = sonuçtan bilgilendirilen, V = bağımsız veto/stop/hold yetkisi. Her satırda yalnız bir A bulunur.</w:t>
      </w:r>
    </w:p>
    <w:tbl>
      <w:tblPr>
        <w:tblStyle w:val="TableGrid"/>
        <w:tblW w:type="dxa" w:w="963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50"/>
        <w:gridCol w:w="650"/>
        <w:gridCol w:w="650"/>
        <w:gridCol w:w="1000"/>
        <w:gridCol w:w="2510"/>
        <w:gridCol w:w="2470"/>
      </w:tblGrid>
      <w:tr>
        <w:trPr>
          <w:tblHeader w:val="true"/>
          <w:cantSplit w:val="1"/>
        </w:trPr>
        <w:tc>
          <w:tcPr>
            <w:tcW w:type="dxa" w:w="235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Süreç / karar</w:t>
            </w:r>
          </w:p>
        </w:tc>
        <w:tc>
          <w:tcPr>
            <w:tcW w:type="dxa" w:w="65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GM</w:t>
            </w:r>
          </w:p>
        </w:tc>
        <w:tc>
          <w:tcPr>
            <w:tcW w:type="dxa" w:w="65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FD</w:t>
            </w:r>
          </w:p>
        </w:tc>
        <w:tc>
          <w:tcPr>
            <w:tcW w:type="dxa" w:w="100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QA/IMS</w:t>
            </w:r>
          </w:p>
        </w:tc>
        <w:tc>
          <w:tcPr>
            <w:tcW w:type="dxa" w:w="251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Fonksiyon sahibi</w:t>
            </w:r>
          </w:p>
        </w:tc>
        <w:tc>
          <w:tcPr>
            <w:tcW w:type="dxa" w:w="247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Bağımsız kontrol</w:t>
            </w:r>
          </w:p>
        </w:tc>
      </w:tr>
      <w:tr>
        <w:trPr>
          <w:cantSplit w:val="1"/>
        </w:trPr>
        <w:tc>
          <w:tcPr>
            <w:tcW w:type="dxa" w:w="23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4"/>
              </w:rPr>
              <w:t>Pazar/teknik şart review</w:t>
            </w:r>
          </w:p>
        </w:tc>
        <w:tc>
          <w:tcPr>
            <w:tcW w:type="dxa" w:w="6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I</w:t>
            </w:r>
          </w:p>
        </w:tc>
        <w:tc>
          <w:tcPr>
            <w:tcW w:type="dxa" w:w="6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C</w:t>
            </w:r>
          </w:p>
        </w:tc>
        <w:tc>
          <w:tcPr>
            <w:tcW w:type="dxa" w:w="10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C</w:t>
            </w:r>
          </w:p>
        </w:tc>
        <w:tc>
          <w:tcPr>
            <w:tcW w:type="dxa" w:w="251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A/R — Ticari</w:t>
            </w:r>
          </w:p>
        </w:tc>
        <w:tc>
          <w:tcPr>
            <w:tcW w:type="dxa" w:w="247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V — QA: claim/uygunluk</w:t>
            </w:r>
          </w:p>
        </w:tc>
      </w:tr>
      <w:tr>
        <w:trPr>
          <w:cantSplit w:val="1"/>
        </w:trPr>
        <w:tc>
          <w:tcPr>
            <w:tcW w:type="dxa" w:w="23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4"/>
              </w:rPr>
              <w:t>Yeni ürün, tasarım/reçete ve validasyon</w:t>
            </w:r>
          </w:p>
        </w:tc>
        <w:tc>
          <w:tcPr>
            <w:tcW w:type="dxa" w:w="6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A</w:t>
            </w:r>
          </w:p>
        </w:tc>
        <w:tc>
          <w:tcPr>
            <w:tcW w:type="dxa" w:w="6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C</w:t>
            </w:r>
          </w:p>
        </w:tc>
        <w:tc>
          <w:tcPr>
            <w:tcW w:type="dxa" w:w="10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C/V</w:t>
            </w:r>
          </w:p>
        </w:tc>
        <w:tc>
          <w:tcPr>
            <w:tcW w:type="dxa" w:w="251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R — AR-GE/Mühendislik</w:t>
            </w:r>
          </w:p>
        </w:tc>
        <w:tc>
          <w:tcPr>
            <w:tcW w:type="dxa" w:w="247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R/C — QC/HSE</w:t>
            </w:r>
          </w:p>
        </w:tc>
      </w:tr>
      <w:tr>
        <w:trPr>
          <w:cantSplit w:val="1"/>
        </w:trPr>
        <w:tc>
          <w:tcPr>
            <w:tcW w:type="dxa" w:w="23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4"/>
              </w:rPr>
              <w:t>Tedarikçi onayı/değişikliği</w:t>
            </w:r>
          </w:p>
        </w:tc>
        <w:tc>
          <w:tcPr>
            <w:tcW w:type="dxa" w:w="6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I</w:t>
            </w:r>
          </w:p>
        </w:tc>
        <w:tc>
          <w:tcPr>
            <w:tcW w:type="dxa" w:w="6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C</w:t>
            </w:r>
          </w:p>
        </w:tc>
        <w:tc>
          <w:tcPr>
            <w:tcW w:type="dxa" w:w="10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A/V</w:t>
            </w:r>
          </w:p>
        </w:tc>
        <w:tc>
          <w:tcPr>
            <w:tcW w:type="dxa" w:w="251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R — SCM + teknik sahibi</w:t>
            </w:r>
          </w:p>
        </w:tc>
        <w:tc>
          <w:tcPr>
            <w:tcW w:type="dxa" w:w="247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R — QC giriş kontrol</w:t>
            </w:r>
          </w:p>
        </w:tc>
      </w:tr>
      <w:tr>
        <w:trPr>
          <w:cantSplit w:val="1"/>
        </w:trPr>
        <w:tc>
          <w:tcPr>
            <w:tcW w:type="dxa" w:w="23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4"/>
              </w:rPr>
              <w:t>Üretim readiness ve plan</w:t>
            </w:r>
          </w:p>
        </w:tc>
        <w:tc>
          <w:tcPr>
            <w:tcW w:type="dxa" w:w="6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I</w:t>
            </w:r>
          </w:p>
        </w:tc>
        <w:tc>
          <w:tcPr>
            <w:tcW w:type="dxa" w:w="6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A</w:t>
            </w:r>
          </w:p>
        </w:tc>
        <w:tc>
          <w:tcPr>
            <w:tcW w:type="dxa" w:w="10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C/V</w:t>
            </w:r>
          </w:p>
        </w:tc>
        <w:tc>
          <w:tcPr>
            <w:tcW w:type="dxa" w:w="251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R — Üretim/Planlama</w:t>
            </w:r>
          </w:p>
        </w:tc>
        <w:tc>
          <w:tcPr>
            <w:tcW w:type="dxa" w:w="247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C — HSE/Bakım/Depo</w:t>
            </w:r>
          </w:p>
        </w:tc>
      </w:tr>
      <w:tr>
        <w:trPr>
          <w:cantSplit w:val="1"/>
        </w:trPr>
        <w:tc>
          <w:tcPr>
            <w:tcW w:type="dxa" w:w="23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4"/>
              </w:rPr>
              <w:t>Batch/imalat üretimi ve IPC/ITP</w:t>
            </w:r>
          </w:p>
        </w:tc>
        <w:tc>
          <w:tcPr>
            <w:tcW w:type="dxa" w:w="6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I</w:t>
            </w:r>
          </w:p>
        </w:tc>
        <w:tc>
          <w:tcPr>
            <w:tcW w:type="dxa" w:w="6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A</w:t>
            </w:r>
          </w:p>
        </w:tc>
        <w:tc>
          <w:tcPr>
            <w:tcW w:type="dxa" w:w="10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C/V</w:t>
            </w:r>
          </w:p>
        </w:tc>
        <w:tc>
          <w:tcPr>
            <w:tcW w:type="dxa" w:w="251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R — Üretim</w:t>
            </w:r>
          </w:p>
        </w:tc>
        <w:tc>
          <w:tcPr>
            <w:tcW w:type="dxa" w:w="247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R/C — QC/HSE</w:t>
            </w:r>
          </w:p>
        </w:tc>
      </w:tr>
      <w:tr>
        <w:trPr>
          <w:cantSplit w:val="1"/>
        </w:trPr>
        <w:tc>
          <w:tcPr>
            <w:tcW w:type="dxa" w:w="23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4"/>
              </w:rPr>
              <w:t>Test/muayene, OOS/NCR ve sonuç geçerliliği</w:t>
            </w:r>
          </w:p>
        </w:tc>
        <w:tc>
          <w:tcPr>
            <w:tcW w:type="dxa" w:w="6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I</w:t>
            </w:r>
          </w:p>
        </w:tc>
        <w:tc>
          <w:tcPr>
            <w:tcW w:type="dxa" w:w="6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C</w:t>
            </w:r>
          </w:p>
        </w:tc>
        <w:tc>
          <w:tcPr>
            <w:tcW w:type="dxa" w:w="10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A/V</w:t>
            </w:r>
          </w:p>
        </w:tc>
        <w:tc>
          <w:tcPr>
            <w:tcW w:type="dxa" w:w="251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R — QC/Lab</w:t>
            </w:r>
          </w:p>
        </w:tc>
        <w:tc>
          <w:tcPr>
            <w:tcW w:type="dxa" w:w="247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C — AR-GE/Üretim</w:t>
            </w:r>
          </w:p>
        </w:tc>
      </w:tr>
      <w:tr>
        <w:trPr>
          <w:cantSplit w:val="1"/>
        </w:trPr>
        <w:tc>
          <w:tcPr>
            <w:tcW w:type="dxa" w:w="23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4"/>
              </w:rPr>
              <w:t>Lot/ürün release-HOLD-REJECT</w:t>
            </w:r>
          </w:p>
        </w:tc>
        <w:tc>
          <w:tcPr>
            <w:tcW w:type="dxa" w:w="6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I</w:t>
            </w:r>
          </w:p>
        </w:tc>
        <w:tc>
          <w:tcPr>
            <w:tcW w:type="dxa" w:w="6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I</w:t>
            </w:r>
          </w:p>
        </w:tc>
        <w:tc>
          <w:tcPr>
            <w:tcW w:type="dxa" w:w="10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A/V</w:t>
            </w:r>
          </w:p>
        </w:tc>
        <w:tc>
          <w:tcPr>
            <w:tcW w:type="dxa" w:w="251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R — Yetkili Release Rolü</w:t>
            </w:r>
          </w:p>
        </w:tc>
        <w:tc>
          <w:tcPr>
            <w:tcW w:type="dxa" w:w="247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C — QC; I — Depo/Ticari</w:t>
            </w:r>
          </w:p>
        </w:tc>
      </w:tr>
      <w:tr>
        <w:trPr>
          <w:cantSplit w:val="1"/>
        </w:trPr>
        <w:tc>
          <w:tcPr>
            <w:tcW w:type="dxa" w:w="23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4"/>
              </w:rPr>
              <w:t>Depo statüsü ve sevkiyat</w:t>
            </w:r>
          </w:p>
        </w:tc>
        <w:tc>
          <w:tcPr>
            <w:tcW w:type="dxa" w:w="6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I</w:t>
            </w:r>
          </w:p>
        </w:tc>
        <w:tc>
          <w:tcPr>
            <w:tcW w:type="dxa" w:w="6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A</w:t>
            </w:r>
          </w:p>
        </w:tc>
        <w:tc>
          <w:tcPr>
            <w:tcW w:type="dxa" w:w="10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C/V</w:t>
            </w:r>
          </w:p>
        </w:tc>
        <w:tc>
          <w:tcPr>
            <w:tcW w:type="dxa" w:w="251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R — Depo/Lojistik</w:t>
            </w:r>
          </w:p>
        </w:tc>
        <w:tc>
          <w:tcPr>
            <w:tcW w:type="dxa" w:w="247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C — Ticari/Finans</w:t>
            </w:r>
          </w:p>
        </w:tc>
      </w:tr>
      <w:tr>
        <w:trPr>
          <w:cantSplit w:val="1"/>
        </w:trPr>
        <w:tc>
          <w:tcPr>
            <w:tcW w:type="dxa" w:w="23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4"/>
              </w:rPr>
              <w:t>Müşteri şikâyeti ve CAPA</w:t>
            </w:r>
          </w:p>
        </w:tc>
        <w:tc>
          <w:tcPr>
            <w:tcW w:type="dxa" w:w="6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I</w:t>
            </w:r>
          </w:p>
        </w:tc>
        <w:tc>
          <w:tcPr>
            <w:tcW w:type="dxa" w:w="6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C</w:t>
            </w:r>
          </w:p>
        </w:tc>
        <w:tc>
          <w:tcPr>
            <w:tcW w:type="dxa" w:w="10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A/V</w:t>
            </w:r>
          </w:p>
        </w:tc>
        <w:tc>
          <w:tcPr>
            <w:tcW w:type="dxa" w:w="251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R — Ticari + süreç sahibi</w:t>
            </w:r>
          </w:p>
        </w:tc>
        <w:tc>
          <w:tcPr>
            <w:tcW w:type="dxa" w:w="247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C — AR-GE/QC/HSE</w:t>
            </w:r>
          </w:p>
        </w:tc>
      </w:tr>
      <w:tr>
        <w:trPr>
          <w:cantSplit w:val="1"/>
        </w:trPr>
        <w:tc>
          <w:tcPr>
            <w:tcW w:type="dxa" w:w="23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4"/>
              </w:rPr>
              <w:t>Bakım/kalibrasyon etkisi</w:t>
            </w:r>
          </w:p>
        </w:tc>
        <w:tc>
          <w:tcPr>
            <w:tcW w:type="dxa" w:w="6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I</w:t>
            </w:r>
          </w:p>
        </w:tc>
        <w:tc>
          <w:tcPr>
            <w:tcW w:type="dxa" w:w="6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A</w:t>
            </w:r>
          </w:p>
        </w:tc>
        <w:tc>
          <w:tcPr>
            <w:tcW w:type="dxa" w:w="10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C/V</w:t>
            </w:r>
          </w:p>
        </w:tc>
        <w:tc>
          <w:tcPr>
            <w:tcW w:type="dxa" w:w="251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R — Bakım/Metrolog</w:t>
            </w:r>
          </w:p>
        </w:tc>
        <w:tc>
          <w:tcPr>
            <w:tcW w:type="dxa" w:w="247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C — QC/Üretim/HSE</w:t>
            </w:r>
          </w:p>
        </w:tc>
      </w:tr>
      <w:tr>
        <w:trPr>
          <w:cantSplit w:val="1"/>
        </w:trPr>
        <w:tc>
          <w:tcPr>
            <w:tcW w:type="dxa" w:w="23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4"/>
              </w:rPr>
              <w:t>HSE olay/acil durum</w:t>
            </w:r>
          </w:p>
        </w:tc>
        <w:tc>
          <w:tcPr>
            <w:tcW w:type="dxa" w:w="6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I/A D4</w:t>
            </w:r>
          </w:p>
        </w:tc>
        <w:tc>
          <w:tcPr>
            <w:tcW w:type="dxa" w:w="6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C/R</w:t>
            </w:r>
          </w:p>
        </w:tc>
        <w:tc>
          <w:tcPr>
            <w:tcW w:type="dxa" w:w="10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C</w:t>
            </w:r>
          </w:p>
        </w:tc>
        <w:tc>
          <w:tcPr>
            <w:tcW w:type="dxa" w:w="251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A/R — HSE</w:t>
            </w:r>
          </w:p>
        </w:tc>
        <w:tc>
          <w:tcPr>
            <w:tcW w:type="dxa" w:w="247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V — HSE stop-work</w:t>
            </w:r>
          </w:p>
        </w:tc>
      </w:tr>
      <w:tr>
        <w:trPr>
          <w:cantSplit w:val="1"/>
        </w:trPr>
        <w:tc>
          <w:tcPr>
            <w:tcW w:type="dxa" w:w="23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4"/>
              </w:rPr>
              <w:t>Doküman/master data</w:t>
            </w:r>
          </w:p>
        </w:tc>
        <w:tc>
          <w:tcPr>
            <w:tcW w:type="dxa" w:w="6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I</w:t>
            </w:r>
          </w:p>
        </w:tc>
        <w:tc>
          <w:tcPr>
            <w:tcW w:type="dxa" w:w="6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C</w:t>
            </w:r>
          </w:p>
        </w:tc>
        <w:tc>
          <w:tcPr>
            <w:tcW w:type="dxa" w:w="10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A/V</w:t>
            </w:r>
          </w:p>
        </w:tc>
        <w:tc>
          <w:tcPr>
            <w:tcW w:type="dxa" w:w="251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R — Bilgi sahibi</w:t>
            </w:r>
          </w:p>
        </w:tc>
        <w:tc>
          <w:tcPr>
            <w:tcW w:type="dxa" w:w="247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C — IT/OT/ilgili fonksiyon</w:t>
            </w:r>
          </w:p>
        </w:tc>
      </w:tr>
      <w:tr>
        <w:trPr>
          <w:cantSplit w:val="1"/>
        </w:trPr>
        <w:tc>
          <w:tcPr>
            <w:tcW w:type="dxa" w:w="23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4"/>
              </w:rPr>
              <w:t>İç tetkik ve YGG</w:t>
            </w:r>
          </w:p>
        </w:tc>
        <w:tc>
          <w:tcPr>
            <w:tcW w:type="dxa" w:w="6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A</w:t>
            </w:r>
          </w:p>
        </w:tc>
        <w:tc>
          <w:tcPr>
            <w:tcW w:type="dxa" w:w="6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C</w:t>
            </w:r>
          </w:p>
        </w:tc>
        <w:tc>
          <w:tcPr>
            <w:tcW w:type="dxa" w:w="10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R</w:t>
            </w:r>
          </w:p>
        </w:tc>
        <w:tc>
          <w:tcPr>
            <w:tcW w:type="dxa" w:w="251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C/I — süreç sahipleri</w:t>
            </w:r>
          </w:p>
        </w:tc>
        <w:tc>
          <w:tcPr>
            <w:tcW w:type="dxa" w:w="247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4"/>
              </w:rPr>
              <w:t>V — Tetkik bağımsızlığı</w:t>
            </w:r>
          </w:p>
        </w:tc>
      </w:tr>
    </w:tbl>
    <w:p>
      <w:pPr>
        <w:spacing w:after="40"/>
        <w:widowControl w:val="1"/>
      </w:pPr>
    </w:p>
    <w:tbl>
      <w:tblPr>
        <w:tblW w:type="dxa" w:w="957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570"/>
      </w:tblGrid>
      <w:tr>
        <w:trPr>
          <w:cantSplit w:val="1"/>
        </w:trPr>
        <w:tc>
          <w:tcPr>
            <w:tcW w:type="dxa" w:w="9570"/>
            <w:shd w:fill="EAF2F6"/>
            <w:tcBorders>
              <w:top w:val="single" w:sz="5" w:space="0" w:color="C7D7E2"/>
              <w:left w:val="single" w:sz="5" w:space="0" w:color="C7D7E2"/>
              <w:bottom w:val="single" w:sz="5" w:space="0" w:color="C7D7E2"/>
              <w:right w:val="single" w:sz="5" w:space="0" w:color="C7D7E2"/>
              <w:insideH w:val="single" w:sz="5" w:space="0" w:color="C7D7E2"/>
              <w:insideV w:val="single" w:sz="5" w:space="0" w:color="C7D7E2"/>
            </w:tcBorders>
            <w:vAlign w:val="center"/>
            <w:tcMar>
              <w:top w:w="125" w:type="dxa"/>
              <w:bottom w:w="125" w:type="dxa"/>
              <w:start w:w="180" w:type="dxa"/>
              <w:end w:w="18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 w:eastAsia="Arial"/>
                <w:b/>
                <w:color w:val="183A59"/>
                <w:sz w:val="21"/>
              </w:rPr>
              <w:t>RACI kullanım kuralı</w:t>
            </w:r>
          </w:p>
          <w:p>
            <w:pPr>
              <w:spacing w:after="0" w:line="269" w:lineRule="auto"/>
            </w:pPr>
            <w:r>
              <w:rPr>
                <w:rFonts w:ascii="Arial" w:hAnsi="Arial" w:eastAsia="Arial"/>
                <w:color w:val="142536"/>
                <w:sz w:val="21"/>
              </w:rPr>
              <w:t>RACI günlük prosedürün yerine geçmez. Süreç prosedürü; kabul kriterini, kaydı, zamanı ve eskalasyon yolunu tanımlar. RACI ile görev tanımı çelişirse iş durdurulur ve Organization &amp; Role Master kontrollü değişiklikle düzeltilir.</w:t>
            </w:r>
          </w:p>
        </w:tc>
      </w:tr>
    </w:tbl>
    <w:p>
      <w:pPr>
        <w:spacing w:after="20"/>
        <w:widowControl w:val="1"/>
      </w:pPr>
    </w:p>
    <w:p>
      <w:pPr>
        <w:pStyle w:val="Heading1"/>
        <w:keepNext/>
        <w:pageBreakBefore w:val="0"/>
        <w:widowControl w:val="1"/>
      </w:pPr>
      <w:r>
        <w:rPr>
          <w:rFonts w:ascii="Arial" w:hAnsi="Arial" w:eastAsia="Arial"/>
          <w:b/>
          <w:color w:val="197B96"/>
          <w:sz w:val="34"/>
        </w:rPr>
        <w:t>9. Bağımsız güvence ve Üç Hat modeli</w:t>
      </w:r>
    </w:p>
    <w:tbl>
      <w:tblPr>
        <w:tblStyle w:val="TableGrid"/>
        <w:tblW w:type="dxa" w:w="963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2450"/>
        <w:gridCol w:w="3200"/>
        <w:gridCol w:w="2280"/>
      </w:tblGrid>
      <w:tr>
        <w:trPr>
          <w:tblHeader w:val="true"/>
          <w:cantSplit w:val="1"/>
        </w:trPr>
        <w:tc>
          <w:tcPr>
            <w:tcW w:type="dxa" w:w="170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Hat</w:t>
            </w:r>
          </w:p>
        </w:tc>
        <w:tc>
          <w:tcPr>
            <w:tcW w:type="dxa" w:w="245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SARL MAPA ALGÉRIE karşılığı</w:t>
            </w:r>
          </w:p>
        </w:tc>
        <w:tc>
          <w:tcPr>
            <w:tcW w:type="dxa" w:w="320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Sorumluluk</w:t>
            </w:r>
          </w:p>
        </w:tc>
        <w:tc>
          <w:tcPr>
            <w:tcW w:type="dxa" w:w="228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Bağımsızlık şartı</w:t>
            </w:r>
          </w:p>
        </w:tc>
      </w:tr>
      <w:tr>
        <w:trPr>
          <w:cantSplit w:val="1"/>
        </w:trPr>
        <w:tc>
          <w:tcPr>
            <w:tcW w:type="dxa" w:w="17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1. Hat — İşletme</w:t>
            </w:r>
          </w:p>
        </w:tc>
        <w:tc>
          <w:tcPr>
            <w:tcW w:type="dxa" w:w="24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Ticari, AR-GE, SCM, Depo, Üretim, Bakım</w:t>
            </w:r>
          </w:p>
        </w:tc>
        <w:tc>
          <w:tcPr>
            <w:tcW w:type="dxa" w:w="32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Riski işi yaparken yönetmek; standard work, IPC, kayıt ve ilk seviye düzeltme.</w:t>
            </w:r>
          </w:p>
        </w:tc>
        <w:tc>
          <w:tcPr>
            <w:tcW w:type="dxa" w:w="228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Kendi performansını izler; nihai bağımsız doğrulama sayılmaz.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2. Hat — Gözetim</w:t>
            </w:r>
          </w:p>
        </w:tc>
        <w:tc>
          <w:tcPr>
            <w:tcW w:type="dxa" w:w="24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QA/IMS, QC/Lab, HSE, mevzuat/veri kontrolleri</w:t>
            </w:r>
          </w:p>
        </w:tc>
        <w:tc>
          <w:tcPr>
            <w:tcW w:type="dxa" w:w="32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Şart, metot, risk gözetimi, test, statü, CAPA/MOC ve uyum güvencesi.</w:t>
            </w:r>
          </w:p>
        </w:tc>
        <w:tc>
          <w:tcPr>
            <w:tcW w:type="dxa" w:w="228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Üretim veya satış hedefi sonucu değiştiremez; GM’ye erişim korunur.</w:t>
            </w:r>
          </w:p>
        </w:tc>
      </w:tr>
      <w:tr>
        <w:trPr>
          <w:cantSplit w:val="1"/>
        </w:trPr>
        <w:tc>
          <w:tcPr>
            <w:tcW w:type="dxa" w:w="17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3. Hat — Bağımsız güvence</w:t>
            </w:r>
          </w:p>
        </w:tc>
        <w:tc>
          <w:tcPr>
            <w:tcW w:type="dxa" w:w="24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İç tetkik / gerektiğinde dış uzman</w:t>
            </w:r>
          </w:p>
        </w:tc>
        <w:tc>
          <w:tcPr>
            <w:tcW w:type="dxa" w:w="32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Sistemin tasarım ve etkinliğini risk bazlı, objektif kanıtla değerlendirmek.</w:t>
            </w:r>
          </w:p>
        </w:tc>
        <w:tc>
          <w:tcPr>
            <w:tcW w:type="dxa" w:w="228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Kendi tasarladığı/işlettiği işi tek başına tetkik edemez; YGG’ye raporlar.</w:t>
            </w:r>
          </w:p>
        </w:tc>
      </w:tr>
    </w:tbl>
    <w:p>
      <w:pPr>
        <w:spacing w:after="40"/>
        <w:widowControl w:val="1"/>
      </w:pPr>
    </w:p>
    <w:p>
      <w:pPr>
        <w:pStyle w:val="Heading2"/>
        <w:keepNext/>
        <w:widowControl w:val="1"/>
      </w:pPr>
      <w:r>
        <w:rPr>
          <w:rFonts w:ascii="Arial" w:hAnsi="Arial" w:eastAsia="Arial"/>
          <w:b/>
          <w:color w:val="183A59"/>
          <w:sz w:val="25"/>
        </w:rPr>
        <w:t>9.1 Zorunlu bağımsızlık korumaları</w:t>
      </w:r>
    </w:p>
    <w:p>
      <w:pPr>
        <w:spacing w:after="80" w:line="280" w:lineRule="auto"/>
        <w:ind w:left="720" w:hanging="360"/>
        <w:numPr>
          <w:ilvl w:val="0"/>
          <w:numId w:val="10"/>
        </w:numPr>
        <w:widowControl w:val="1"/>
      </w:pPr>
      <w:r>
        <w:rPr>
          <w:rFonts w:ascii="Arial" w:hAnsi="Arial" w:eastAsia="Arial"/>
          <w:color w:val="142536"/>
          <w:sz w:val="21"/>
        </w:rPr>
        <w:t>QA/IMS, QC sonuçları, audit bulguları, HOLD/REJECT ve CAPA/MOC etkinliği konusunda sansürsüz kayıt ve GM erişimine sahiptir.</w:t>
      </w:r>
    </w:p>
    <w:p>
      <w:pPr>
        <w:spacing w:after="80" w:line="280" w:lineRule="auto"/>
        <w:ind w:left="720" w:hanging="360"/>
        <w:numPr>
          <w:ilvl w:val="0"/>
          <w:numId w:val="10"/>
        </w:numPr>
        <w:widowControl w:val="1"/>
      </w:pPr>
      <w:r>
        <w:rPr>
          <w:rFonts w:ascii="Arial" w:hAnsi="Arial" w:eastAsia="Arial"/>
          <w:color w:val="142536"/>
          <w:sz w:val="21"/>
        </w:rPr>
        <w:t>Üretim hedefi, sevkiyat baskısı veya müşteri aciliyeti; test tekrarı, sonuç seçme, uygunsuzluk gizleme ya da kayıt değiştirme gerekçesi olamaz.</w:t>
      </w:r>
    </w:p>
    <w:p>
      <w:pPr>
        <w:spacing w:after="80" w:line="280" w:lineRule="auto"/>
        <w:ind w:left="720" w:hanging="360"/>
        <w:numPr>
          <w:ilvl w:val="0"/>
          <w:numId w:val="10"/>
        </w:numPr>
        <w:widowControl w:val="1"/>
      </w:pPr>
      <w:r>
        <w:rPr>
          <w:rFonts w:ascii="Arial" w:hAnsi="Arial" w:eastAsia="Arial"/>
          <w:color w:val="142536"/>
          <w:sz w:val="21"/>
        </w:rPr>
        <w:t>İç tetkikçi kendi sorumluluğundaki süreci tetkik etmez; kaynak sınırlıysa çapraz eğitimli tetkikçi veya dış uzman atanır.</w:t>
      </w:r>
    </w:p>
    <w:p>
      <w:pPr>
        <w:spacing w:after="80" w:line="280" w:lineRule="auto"/>
        <w:ind w:left="720" w:hanging="360"/>
        <w:numPr>
          <w:ilvl w:val="0"/>
          <w:numId w:val="10"/>
        </w:numPr>
        <w:widowControl w:val="1"/>
      </w:pPr>
      <w:r>
        <w:rPr>
          <w:rFonts w:ascii="Arial" w:hAnsi="Arial" w:eastAsia="Arial"/>
          <w:color w:val="142536"/>
          <w:sz w:val="21"/>
        </w:rPr>
        <w:t>HSE stop-work kaldırma kararı, tehlike sahibinin düzeltmesi ve HSE doğrulaması olmadan verilemez.</w:t>
      </w:r>
    </w:p>
    <w:p>
      <w:pPr>
        <w:spacing w:after="80" w:line="280" w:lineRule="auto"/>
        <w:ind w:left="720" w:hanging="360"/>
        <w:numPr>
          <w:ilvl w:val="0"/>
          <w:numId w:val="10"/>
        </w:numPr>
        <w:widowControl w:val="1"/>
      </w:pPr>
      <w:r>
        <w:rPr>
          <w:rFonts w:ascii="Arial" w:hAnsi="Arial" w:eastAsia="Arial"/>
          <w:color w:val="142536"/>
          <w:sz w:val="21"/>
        </w:rPr>
        <w:t>Bağımsızlık ihlali potansiyel majör uygunsuzluk olarak QA/IMS ve Genel Müdür’e eskale edilir.</w:t>
      </w:r>
    </w:p>
    <w:p>
      <w:pPr>
        <w:pStyle w:val="Heading1"/>
        <w:keepNext/>
        <w:pageBreakBefore w:val="0"/>
        <w:widowControl w:val="1"/>
      </w:pPr>
      <w:r>
        <w:rPr>
          <w:rFonts w:ascii="Arial" w:hAnsi="Arial" w:eastAsia="Arial"/>
          <w:b/>
          <w:color w:val="197B96"/>
          <w:sz w:val="34"/>
        </w:rPr>
        <w:t>10. Görev ayrılığı ve yasak rol birleşimleri</w:t>
      </w:r>
    </w:p>
    <w:tbl>
      <w:tblPr>
        <w:tblStyle w:val="TableGrid"/>
        <w:tblW w:type="dxa" w:w="963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50"/>
        <w:gridCol w:w="3330"/>
        <w:gridCol w:w="3650"/>
      </w:tblGrid>
      <w:tr>
        <w:trPr>
          <w:tblHeader w:val="true"/>
          <w:cantSplit w:val="1"/>
        </w:trPr>
        <w:tc>
          <w:tcPr>
            <w:tcW w:type="dxa" w:w="265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İşlem / kontrol zinciri</w:t>
            </w:r>
          </w:p>
        </w:tc>
        <w:tc>
          <w:tcPr>
            <w:tcW w:type="dxa" w:w="333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Asgari ayrım</w:t>
            </w:r>
          </w:p>
        </w:tc>
        <w:tc>
          <w:tcPr>
            <w:tcW w:type="dxa" w:w="365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Yasak veya ek kontrol gerektiren birleşim</w:t>
            </w:r>
          </w:p>
        </w:tc>
      </w:tr>
      <w:tr>
        <w:trPr>
          <w:cantSplit w:val="1"/>
        </w:trPr>
        <w:tc>
          <w:tcPr>
            <w:tcW w:type="dxa" w:w="26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Satınalma</w:t>
            </w:r>
          </w:p>
        </w:tc>
        <w:tc>
          <w:tcPr>
            <w:tcW w:type="dxa" w:w="333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Talep sahibi ≠ PO onayı ≠ teslim alma ≠ fatura/ödeme onayı.</w:t>
            </w:r>
          </w:p>
        </w:tc>
        <w:tc>
          <w:tcPr>
            <w:tcW w:type="dxa" w:w="36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Aynı kişi uçtan uca kontrol edemez; küçük kadroda bağımsız ikinci onay ve periyodik review gerekir.</w:t>
            </w:r>
          </w:p>
        </w:tc>
      </w:tr>
      <w:tr>
        <w:trPr>
          <w:cantSplit w:val="1"/>
        </w:trPr>
        <w:tc>
          <w:tcPr>
            <w:tcW w:type="dxa" w:w="26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Hammadde/malzeme kabulü</w:t>
            </w:r>
          </w:p>
        </w:tc>
        <w:tc>
          <w:tcPr>
            <w:tcW w:type="dxa" w:w="333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Depo fiziksel kabul; QC/QA teknik/statü kararı.</w:t>
            </w:r>
          </w:p>
        </w:tc>
        <w:tc>
          <w:tcPr>
            <w:tcW w:type="dxa" w:w="36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Satınalma veya depo tek başına RELEASE veremez.</w:t>
            </w:r>
          </w:p>
        </w:tc>
      </w:tr>
      <w:tr>
        <w:trPr>
          <w:cantSplit w:val="1"/>
        </w:trPr>
        <w:tc>
          <w:tcPr>
            <w:tcW w:type="dxa" w:w="26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Üretim ve release</w:t>
            </w:r>
          </w:p>
        </w:tc>
        <w:tc>
          <w:tcPr>
            <w:tcW w:type="dxa" w:w="333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Batch/iş emri kaydı ve IPC/ITP; QC test/muayene; yetkili rol lot/ürün kararı.</w:t>
            </w:r>
          </w:p>
        </w:tc>
        <w:tc>
          <w:tcPr>
            <w:tcW w:type="dxa" w:w="36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Üretim yöneticisi veya ticari rol kendi lotunu ya da imalat işini serbest bırakamaz.</w:t>
            </w:r>
          </w:p>
        </w:tc>
      </w:tr>
      <w:tr>
        <w:trPr>
          <w:cantSplit w:val="1"/>
        </w:trPr>
        <w:tc>
          <w:tcPr>
            <w:tcW w:type="dxa" w:w="26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AR-GE/mühendislik değişikliği</w:t>
            </w:r>
          </w:p>
        </w:tc>
        <w:tc>
          <w:tcPr>
            <w:tcW w:type="dxa" w:w="333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AR-GE/mühendislik önerir; çapraz risk, tasarım doğrulama/validasyon ve QA/MOC onayı uygulanır.</w:t>
            </w:r>
          </w:p>
        </w:tc>
        <w:tc>
          <w:tcPr>
            <w:tcW w:type="dxa" w:w="36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Reçete veya tasarım sahibi; master reçete, teknik resim/BOM/WPS verisini tek başına değiştirip üretime alamaz.</w:t>
            </w:r>
          </w:p>
        </w:tc>
      </w:tr>
      <w:tr>
        <w:trPr>
          <w:cantSplit w:val="1"/>
        </w:trPr>
        <w:tc>
          <w:tcPr>
            <w:tcW w:type="dxa" w:w="26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Bakım/kalibrasyon</w:t>
            </w:r>
          </w:p>
        </w:tc>
        <w:tc>
          <w:tcPr>
            <w:tcW w:type="dxa" w:w="333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Bakım işi; kullanıcı fonksiyonu ve gerektiğinde QA/QC etki doğrulaması.</w:t>
            </w:r>
          </w:p>
        </w:tc>
        <w:tc>
          <w:tcPr>
            <w:tcW w:type="dxa" w:w="36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Teknisyen kendi kritik işinin tüm kabulünü tek başına kapatamaz.</w:t>
            </w:r>
          </w:p>
        </w:tc>
      </w:tr>
      <w:tr>
        <w:trPr>
          <w:cantSplit w:val="1"/>
        </w:trPr>
        <w:tc>
          <w:tcPr>
            <w:tcW w:type="dxa" w:w="26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Doküman/veri</w:t>
            </w:r>
          </w:p>
        </w:tc>
        <w:tc>
          <w:tcPr>
            <w:tcW w:type="dxa" w:w="333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İçerik sahibi hazırlar; fonksiyon kontrolü; yetkili onay/yayın.</w:t>
            </w:r>
          </w:p>
        </w:tc>
        <w:tc>
          <w:tcPr>
            <w:tcW w:type="dxa" w:w="36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Sistem yöneticisi gerekçesiz kayıt içeriği değiştiremez; audit trail kapatılamaz.</w:t>
            </w:r>
          </w:p>
        </w:tc>
      </w:tr>
      <w:tr>
        <w:trPr>
          <w:cantSplit w:val="1"/>
        </w:trPr>
        <w:tc>
          <w:tcPr>
            <w:tcW w:type="dxa" w:w="26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CAPA/MOC</w:t>
            </w:r>
          </w:p>
        </w:tc>
        <w:tc>
          <w:tcPr>
            <w:tcW w:type="dxa" w:w="333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Aksiyon sahibi uygular; süreç sahibi hesap verir; QA etkinliği doğrular.</w:t>
            </w:r>
          </w:p>
        </w:tc>
        <w:tc>
          <w:tcPr>
            <w:tcW w:type="dxa" w:w="36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Aksiyon sahibi kendi etkinlik doğrulamasını tek başına yapamaz.</w:t>
            </w:r>
          </w:p>
        </w:tc>
      </w:tr>
      <w:tr>
        <w:trPr>
          <w:cantSplit w:val="1"/>
        </w:trPr>
        <w:tc>
          <w:tcPr>
            <w:tcW w:type="dxa" w:w="26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İç tetkik</w:t>
            </w:r>
          </w:p>
        </w:tc>
        <w:tc>
          <w:tcPr>
            <w:tcW w:type="dxa" w:w="333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Tetkikçi tetkik edilen faaliyetten bağımsızdır.</w:t>
            </w:r>
          </w:p>
        </w:tc>
        <w:tc>
          <w:tcPr>
            <w:tcW w:type="dxa" w:w="36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Fonksiyon sahibi kendi sürecinde bağımsız tetkikçi olamaz.</w:t>
            </w:r>
          </w:p>
        </w:tc>
      </w:tr>
    </w:tbl>
    <w:p>
      <w:pPr>
        <w:spacing w:after="40"/>
        <w:widowControl w:val="1"/>
      </w:pPr>
    </w:p>
    <w:tbl>
      <w:tblPr>
        <w:tblW w:type="dxa" w:w="957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570"/>
      </w:tblGrid>
      <w:tr>
        <w:trPr>
          <w:cantSplit w:val="1"/>
        </w:trPr>
        <w:tc>
          <w:tcPr>
            <w:tcW w:type="dxa" w:w="9570"/>
            <w:shd w:fill="FFF4E5"/>
            <w:tcBorders>
              <w:top w:val="single" w:sz="5" w:space="0" w:color="E7B96A"/>
              <w:left w:val="single" w:sz="5" w:space="0" w:color="E7B96A"/>
              <w:bottom w:val="single" w:sz="5" w:space="0" w:color="E7B96A"/>
              <w:right w:val="single" w:sz="5" w:space="0" w:color="E7B96A"/>
              <w:insideH w:val="single" w:sz="5" w:space="0" w:color="E7B96A"/>
              <w:insideV w:val="single" w:sz="5" w:space="0" w:color="E7B96A"/>
            </w:tcBorders>
            <w:vAlign w:val="center"/>
            <w:tcMar>
              <w:top w:w="125" w:type="dxa"/>
              <w:bottom w:w="125" w:type="dxa"/>
              <w:start w:w="180" w:type="dxa"/>
              <w:end w:w="18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 w:eastAsia="Arial"/>
                <w:b/>
                <w:color w:val="9B1C1C"/>
                <w:sz w:val="21"/>
              </w:rPr>
              <w:t>Rol birleşimi kararı</w:t>
            </w:r>
          </w:p>
          <w:p>
            <w:pPr>
              <w:spacing w:after="0" w:line="269" w:lineRule="auto"/>
            </w:pPr>
            <w:r>
              <w:rPr>
                <w:rFonts w:ascii="Arial" w:hAnsi="Arial" w:eastAsia="Arial"/>
                <w:color w:val="142536"/>
                <w:sz w:val="21"/>
              </w:rPr>
              <w:t>Birleşim yalnız yazılı SoD risk değerlendirmesi, yetkinlik doğrulaması, kapasite kanıtı, ikinci göz kontrolü, vekâlet ve Genel Müdür onayıyla uygulanabilir. QA/release–Üretim ve QA/release–Ticari birleşimi onaylanamaz.</w:t>
            </w:r>
          </w:p>
        </w:tc>
      </w:tr>
    </w:tbl>
    <w:p>
      <w:pPr>
        <w:spacing w:after="20"/>
        <w:widowControl w:val="1"/>
      </w:pPr>
    </w:p>
    <w:p>
      <w:pPr>
        <w:pStyle w:val="Heading1"/>
        <w:keepNext/>
        <w:pageBreakBefore w:val="0"/>
        <w:widowControl w:val="1"/>
      </w:pPr>
      <w:r>
        <w:rPr>
          <w:rFonts w:ascii="Arial" w:hAnsi="Arial" w:eastAsia="Arial"/>
          <w:b/>
          <w:color w:val="197B96"/>
          <w:sz w:val="34"/>
        </w:rPr>
        <w:t>11. Vekâlet ve iş sürekliliği</w:t>
      </w:r>
    </w:p>
    <w:p>
      <w:pPr>
        <w:spacing w:after="120"/>
        <w:widowControl w:val="1"/>
      </w:pPr>
      <w:r>
        <w:rPr>
          <w:rFonts w:ascii="Arial" w:hAnsi="Arial" w:eastAsia="Arial"/>
          <w:color w:val="142536"/>
          <w:sz w:val="21"/>
        </w:rPr>
        <w:t>Kritik her rol için birincil vekil, yetki başlangıç/bitiş koşulu, erişim, imza sınırı ve devir kaydı tanımlanır. Vekâlet unvanı değil, yalnız tanımlı karar hakkını aktarır.</w:t>
      </w:r>
    </w:p>
    <w:tbl>
      <w:tblPr>
        <w:tblStyle w:val="TableGrid"/>
        <w:tblW w:type="dxa" w:w="963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4150"/>
        <w:gridCol w:w="3380"/>
      </w:tblGrid>
      <w:tr>
        <w:trPr>
          <w:tblHeader w:val="true"/>
          <w:cantSplit w:val="1"/>
        </w:trPr>
        <w:tc>
          <w:tcPr>
            <w:tcW w:type="dxa" w:w="210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Kritik rol</w:t>
            </w:r>
          </w:p>
        </w:tc>
        <w:tc>
          <w:tcPr>
            <w:tcW w:type="dxa" w:w="415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Vekâlet şartı</w:t>
            </w:r>
          </w:p>
        </w:tc>
        <w:tc>
          <w:tcPr>
            <w:tcW w:type="dxa" w:w="338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Devredilemeyen / özel kontrol</w:t>
            </w:r>
          </w:p>
        </w:tc>
      </w:tr>
      <w:tr>
        <w:trPr>
          <w:cantSplit w:val="1"/>
        </w:trPr>
        <w:tc>
          <w:tcPr>
            <w:tcW w:type="dxa" w:w="21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Genel Müdür</w:t>
            </w:r>
          </w:p>
        </w:tc>
        <w:tc>
          <w:tcPr>
            <w:tcW w:type="dxa" w:w="41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Yazılı vekâlet; D3/D4 limitleri ve yasal temsil sınırı.</w:t>
            </w:r>
          </w:p>
        </w:tc>
        <w:tc>
          <w:tcPr>
            <w:tcW w:type="dxa" w:w="338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Yasal veya yönetim kurulu yetkisi açıkça verilmemişse kullanılamaz.</w:t>
            </w:r>
          </w:p>
        </w:tc>
      </w:tr>
      <w:tr>
        <w:trPr>
          <w:cantSplit w:val="1"/>
        </w:trPr>
        <w:tc>
          <w:tcPr>
            <w:tcW w:type="dxa" w:w="21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Fabrika Direktörü</w:t>
            </w:r>
          </w:p>
        </w:tc>
        <w:tc>
          <w:tcPr>
            <w:tcW w:type="dxa" w:w="41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Operasyon deneyimi, HSE/kalite eskalasyonu ve SQDCP yetkinliği.</w:t>
            </w:r>
          </w:p>
        </w:tc>
        <w:tc>
          <w:tcPr>
            <w:tcW w:type="dxa" w:w="338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QA/HSE bağımsız kararlarını kaldıramaz.</w:t>
            </w:r>
          </w:p>
        </w:tc>
      </w:tr>
      <w:tr>
        <w:trPr>
          <w:cantSplit w:val="1"/>
        </w:trPr>
        <w:tc>
          <w:tcPr>
            <w:tcW w:type="dxa" w:w="21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QA/IMS Yöneticisi</w:t>
            </w:r>
          </w:p>
        </w:tc>
        <w:tc>
          <w:tcPr>
            <w:tcW w:type="dxa" w:w="41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IMS, audit, NCR/CAPA/MOC ve doküman kontrol yetkinliği.</w:t>
            </w:r>
          </w:p>
        </w:tc>
        <w:tc>
          <w:tcPr>
            <w:tcW w:type="dxa" w:w="338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Kendi üretim çıktısına bağımsız release yetkisi verilemez.</w:t>
            </w:r>
          </w:p>
        </w:tc>
      </w:tr>
      <w:tr>
        <w:trPr>
          <w:cantSplit w:val="1"/>
        </w:trPr>
        <w:tc>
          <w:tcPr>
            <w:tcW w:type="dxa" w:w="21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Yetkili Release Rolü</w:t>
            </w:r>
          </w:p>
        </w:tc>
        <w:tc>
          <w:tcPr>
            <w:tcW w:type="dxa" w:w="41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Ürün, spesifikasyon, OOS ve batch review eğitimi; yazılı imza/erişim.</w:t>
            </w:r>
          </w:p>
        </w:tc>
        <w:tc>
          <w:tcPr>
            <w:tcW w:type="dxa" w:w="338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Eğitimsiz veya üretim/ticari çatışmalı vekil release yapamaz.</w:t>
            </w:r>
          </w:p>
        </w:tc>
      </w:tr>
      <w:tr>
        <w:trPr>
          <w:cantSplit w:val="1"/>
        </w:trPr>
        <w:tc>
          <w:tcPr>
            <w:tcW w:type="dxa" w:w="21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HSE</w:t>
            </w:r>
          </w:p>
        </w:tc>
        <w:tc>
          <w:tcPr>
            <w:tcW w:type="dxa" w:w="41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Risk, acil durum ve yasal bildirim yetkinliği.</w:t>
            </w:r>
          </w:p>
        </w:tc>
        <w:tc>
          <w:tcPr>
            <w:tcW w:type="dxa" w:w="338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Stop-work hakkı her zaman korunur; kaldırma kontrollü doğrulama ister.</w:t>
            </w:r>
          </w:p>
        </w:tc>
      </w:tr>
      <w:tr>
        <w:trPr>
          <w:cantSplit w:val="1"/>
        </w:trPr>
        <w:tc>
          <w:tcPr>
            <w:tcW w:type="dxa" w:w="21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QC/Lab</w:t>
            </w:r>
          </w:p>
        </w:tc>
        <w:tc>
          <w:tcPr>
            <w:tcW w:type="dxa" w:w="41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Metot, cihaz, OOS ve veri bütünlüğü yetkinliği.</w:t>
            </w:r>
          </w:p>
        </w:tc>
        <w:tc>
          <w:tcPr>
            <w:tcW w:type="dxa" w:w="338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Yetkilendirilmemiş kişi sonucu onaylayamaz.</w:t>
            </w:r>
          </w:p>
        </w:tc>
      </w:tr>
    </w:tbl>
    <w:p>
      <w:pPr>
        <w:spacing w:after="40"/>
        <w:widowControl w:val="1"/>
      </w:pPr>
    </w:p>
    <w:p>
      <w:pPr>
        <w:pStyle w:val="Heading2"/>
        <w:keepNext/>
        <w:widowControl w:val="1"/>
      </w:pPr>
      <w:r>
        <w:rPr>
          <w:rFonts w:ascii="Arial" w:hAnsi="Arial" w:eastAsia="Arial"/>
          <w:b/>
          <w:color w:val="183A59"/>
          <w:sz w:val="25"/>
        </w:rPr>
        <w:t>11.1 Vekâlet devreye alma adımları</w:t>
      </w:r>
    </w:p>
    <w:p>
      <w:pPr>
        <w:spacing w:after="80" w:line="280" w:lineRule="auto"/>
        <w:ind w:left="720" w:hanging="360"/>
        <w:numPr>
          <w:ilvl w:val="0"/>
          <w:numId w:val="13"/>
        </w:numPr>
        <w:widowControl w:val="1"/>
      </w:pPr>
      <w:r>
        <w:rPr>
          <w:rFonts w:ascii="Arial" w:hAnsi="Arial" w:eastAsia="Arial"/>
          <w:color w:val="142536"/>
          <w:sz w:val="21"/>
        </w:rPr>
        <w:t>Yokluk veya iş sürekliliği tetikleyicisi kayıt altına alınır.</w:t>
      </w:r>
    </w:p>
    <w:p>
      <w:pPr>
        <w:spacing w:after="80" w:line="280" w:lineRule="auto"/>
        <w:ind w:left="720" w:hanging="360"/>
        <w:numPr>
          <w:ilvl w:val="0"/>
          <w:numId w:val="13"/>
        </w:numPr>
        <w:widowControl w:val="1"/>
      </w:pPr>
      <w:r>
        <w:rPr>
          <w:rFonts w:ascii="Arial" w:hAnsi="Arial" w:eastAsia="Arial"/>
          <w:color w:val="142536"/>
          <w:sz w:val="21"/>
        </w:rPr>
        <w:t>Organization &amp; Role Master’daki onaylı vekil ve yetki sınırı doğrulanır.</w:t>
      </w:r>
    </w:p>
    <w:p>
      <w:pPr>
        <w:spacing w:after="80" w:line="280" w:lineRule="auto"/>
        <w:ind w:left="720" w:hanging="360"/>
        <w:numPr>
          <w:ilvl w:val="0"/>
          <w:numId w:val="13"/>
        </w:numPr>
        <w:widowControl w:val="1"/>
      </w:pPr>
      <w:r>
        <w:rPr>
          <w:rFonts w:ascii="Arial" w:hAnsi="Arial" w:eastAsia="Arial"/>
          <w:color w:val="142536"/>
          <w:sz w:val="21"/>
        </w:rPr>
        <w:t>Gerekli sistem erişimi süreli ve least-privilege olarak aktive edilir.</w:t>
      </w:r>
    </w:p>
    <w:p>
      <w:pPr>
        <w:spacing w:after="80" w:line="280" w:lineRule="auto"/>
        <w:ind w:left="720" w:hanging="360"/>
        <w:numPr>
          <w:ilvl w:val="0"/>
          <w:numId w:val="13"/>
        </w:numPr>
        <w:widowControl w:val="1"/>
      </w:pPr>
      <w:r>
        <w:rPr>
          <w:rFonts w:ascii="Arial" w:hAnsi="Arial" w:eastAsia="Arial"/>
          <w:color w:val="142536"/>
          <w:sz w:val="21"/>
        </w:rPr>
        <w:t>Açık kararlar, riskler, HOLD statüleri ve kritik aksiyonlar yazılı devredilir.</w:t>
      </w:r>
    </w:p>
    <w:p>
      <w:pPr>
        <w:spacing w:after="80" w:line="280" w:lineRule="auto"/>
        <w:ind w:left="720" w:hanging="360"/>
        <w:numPr>
          <w:ilvl w:val="0"/>
          <w:numId w:val="13"/>
        </w:numPr>
        <w:widowControl w:val="1"/>
      </w:pPr>
      <w:r>
        <w:rPr>
          <w:rFonts w:ascii="Arial" w:hAnsi="Arial" w:eastAsia="Arial"/>
          <w:color w:val="142536"/>
          <w:sz w:val="21"/>
        </w:rPr>
        <w:t>Asıl rol döndüğünde kararlar review edilir; geçici erişim kapatılır ve kayıt arşivlenir.</w:t>
      </w:r>
    </w:p>
    <w:p>
      <w:pPr>
        <w:pStyle w:val="Heading1"/>
        <w:keepNext/>
        <w:pageBreakBefore w:val="0"/>
        <w:widowControl w:val="1"/>
      </w:pPr>
      <w:r>
        <w:rPr>
          <w:rFonts w:ascii="Arial" w:hAnsi="Arial" w:eastAsia="Arial"/>
          <w:b/>
          <w:color w:val="197B96"/>
          <w:sz w:val="34"/>
        </w:rPr>
        <w:t>12. Yönetim ritmi ve eskalasyon</w:t>
      </w:r>
    </w:p>
    <w:tbl>
      <w:tblPr>
        <w:tblStyle w:val="TableGrid"/>
        <w:tblW w:type="dxa" w:w="963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50"/>
        <w:gridCol w:w="2350"/>
        <w:gridCol w:w="3560"/>
        <w:gridCol w:w="2270"/>
      </w:tblGrid>
      <w:tr>
        <w:trPr>
          <w:tblHeader w:val="true"/>
          <w:cantSplit w:val="1"/>
        </w:trPr>
        <w:tc>
          <w:tcPr>
            <w:tcW w:type="dxa" w:w="145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Ritim</w:t>
            </w:r>
          </w:p>
        </w:tc>
        <w:tc>
          <w:tcPr>
            <w:tcW w:type="dxa" w:w="235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Başkan / katılımcı</w:t>
            </w:r>
          </w:p>
        </w:tc>
        <w:tc>
          <w:tcPr>
            <w:tcW w:type="dxa" w:w="356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Asgari gündem</w:t>
            </w:r>
          </w:p>
        </w:tc>
        <w:tc>
          <w:tcPr>
            <w:tcW w:type="dxa" w:w="227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Çıktı / kayıt</w:t>
            </w:r>
          </w:p>
        </w:tc>
      </w:tr>
      <w:tr>
        <w:trPr>
          <w:cantSplit w:val="1"/>
        </w:trPr>
        <w:tc>
          <w:tcPr>
            <w:tcW w:type="dxa" w:w="14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5"/>
              </w:rPr>
              <w:t>Vardiya / günlük</w:t>
            </w:r>
          </w:p>
        </w:tc>
        <w:tc>
          <w:tcPr>
            <w:tcW w:type="dxa" w:w="23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Üretim lideri; QC, Depo, Bakım, HSE gerektiğinde</w:t>
            </w:r>
          </w:p>
        </w:tc>
        <w:tc>
          <w:tcPr>
            <w:tcW w:type="dxa" w:w="356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Safety, kalite kapıları, plan, engel, HOLD, bakım ve personel.</w:t>
            </w:r>
          </w:p>
        </w:tc>
        <w:tc>
          <w:tcPr>
            <w:tcW w:type="dxa" w:w="227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Vardiya devir kaydı, günlük aksiyon ve eskalasyon.</w:t>
            </w:r>
          </w:p>
        </w:tc>
      </w:tr>
      <w:tr>
        <w:trPr>
          <w:cantSplit w:val="1"/>
        </w:trPr>
        <w:tc>
          <w:tcPr>
            <w:tcW w:type="dxa" w:w="14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5"/>
              </w:rPr>
              <w:t>Haftalık SQDCP+E</w:t>
            </w:r>
          </w:p>
        </w:tc>
        <w:tc>
          <w:tcPr>
            <w:tcW w:type="dxa" w:w="23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Fabrika Direktörü; fonksiyon sahipleri</w:t>
            </w:r>
          </w:p>
        </w:tc>
        <w:tc>
          <w:tcPr>
            <w:tcW w:type="dxa" w:w="356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Trend, gecikme, NCR/OOS, kapasite, stok, bakım, HSE ve müşteri.</w:t>
            </w:r>
          </w:p>
        </w:tc>
        <w:tc>
          <w:tcPr>
            <w:tcW w:type="dxa" w:w="227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Karar/aksiyon logu; sahip ve termin.</w:t>
            </w:r>
          </w:p>
        </w:tc>
      </w:tr>
      <w:tr>
        <w:trPr>
          <w:cantSplit w:val="1"/>
        </w:trPr>
        <w:tc>
          <w:tcPr>
            <w:tcW w:type="dxa" w:w="14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5"/>
              </w:rPr>
              <w:t>Aylık IMS</w:t>
            </w:r>
          </w:p>
        </w:tc>
        <w:tc>
          <w:tcPr>
            <w:tcW w:type="dxa" w:w="23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QA/IMS; süreç sahipleri</w:t>
            </w:r>
          </w:p>
        </w:tc>
        <w:tc>
          <w:tcPr>
            <w:tcW w:type="dxa" w:w="356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KPI, audit, CAPA/MOC, şikâyet, risk, doküman, eğitim, uygunluk.</w:t>
            </w:r>
          </w:p>
        </w:tc>
        <w:tc>
          <w:tcPr>
            <w:tcW w:type="dxa" w:w="227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IMS review tutanağı ve eskalasyonlar.</w:t>
            </w:r>
          </w:p>
        </w:tc>
      </w:tr>
      <w:tr>
        <w:trPr>
          <w:cantSplit w:val="1"/>
        </w:trPr>
        <w:tc>
          <w:tcPr>
            <w:tcW w:type="dxa" w:w="14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5"/>
              </w:rPr>
              <w:t>Aylık yönetim</w:t>
            </w:r>
          </w:p>
        </w:tc>
        <w:tc>
          <w:tcPr>
            <w:tcW w:type="dxa" w:w="23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Genel Müdür; M1</w:t>
            </w:r>
          </w:p>
        </w:tc>
        <w:tc>
          <w:tcPr>
            <w:tcW w:type="dxa" w:w="356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Finans, pazar, SQDCP+E, portföy, kaynak, risk ve organizasyon.</w:t>
            </w:r>
          </w:p>
        </w:tc>
        <w:tc>
          <w:tcPr>
            <w:tcW w:type="dxa" w:w="227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Yönetim karar kaydı / D3 aksiyonları.</w:t>
            </w:r>
          </w:p>
        </w:tc>
      </w:tr>
      <w:tr>
        <w:trPr>
          <w:cantSplit w:val="1"/>
        </w:trPr>
        <w:tc>
          <w:tcPr>
            <w:tcW w:type="dxa" w:w="14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5"/>
              </w:rPr>
              <w:t>Üç aylık stratejik</w:t>
            </w:r>
          </w:p>
        </w:tc>
        <w:tc>
          <w:tcPr>
            <w:tcW w:type="dxa" w:w="23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Genel Müdür; Yönetim Ekibi</w:t>
            </w:r>
          </w:p>
        </w:tc>
        <w:tc>
          <w:tcPr>
            <w:tcW w:type="dxa" w:w="356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Strateji, yatırım, müşteri/portföy, kapasite, yetkinlik ve dönüşüm.</w:t>
            </w:r>
          </w:p>
        </w:tc>
        <w:tc>
          <w:tcPr>
            <w:tcW w:type="dxa" w:w="227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Öncelik ve kaynak kararları.</w:t>
            </w:r>
          </w:p>
        </w:tc>
      </w:tr>
      <w:tr>
        <w:trPr>
          <w:cantSplit w:val="1"/>
        </w:trPr>
        <w:tc>
          <w:tcPr>
            <w:tcW w:type="dxa" w:w="14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5"/>
              </w:rPr>
              <w:t>YGG — planlı/en az yıllık</w:t>
            </w:r>
          </w:p>
        </w:tc>
        <w:tc>
          <w:tcPr>
            <w:tcW w:type="dxa" w:w="23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Genel Müdür; ilgili liderler</w:t>
            </w:r>
          </w:p>
        </w:tc>
        <w:tc>
          <w:tcPr>
            <w:tcW w:type="dxa" w:w="356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IMS uygunluk, yeterlilik, etkinlik ve stratejik değişim.</w:t>
            </w:r>
          </w:p>
        </w:tc>
        <w:tc>
          <w:tcPr>
            <w:tcW w:type="dxa" w:w="227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YGG kararları, kaynak ve iyileştirme planı.</w:t>
            </w:r>
          </w:p>
        </w:tc>
      </w:tr>
      <w:tr>
        <w:trPr>
          <w:cantSplit w:val="1"/>
        </w:trPr>
        <w:tc>
          <w:tcPr>
            <w:tcW w:type="dxa" w:w="14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5"/>
              </w:rPr>
              <w:t>Olay bazlı kriz</w:t>
            </w:r>
          </w:p>
        </w:tc>
        <w:tc>
          <w:tcPr>
            <w:tcW w:type="dxa" w:w="23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Olay lideri</w:t>
            </w:r>
          </w:p>
        </w:tc>
        <w:tc>
          <w:tcPr>
            <w:tcW w:type="dxa" w:w="356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Can/çevre/ürün/veri/müşteri etkisi ve iş sürekliliği.</w:t>
            </w:r>
          </w:p>
        </w:tc>
        <w:tc>
          <w:tcPr>
            <w:tcW w:type="dxa" w:w="227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Kriz logu, iletişim, containment ve post-review.</w:t>
            </w:r>
          </w:p>
        </w:tc>
      </w:tr>
    </w:tbl>
    <w:p>
      <w:pPr>
        <w:spacing w:after="40"/>
        <w:widowControl w:val="1"/>
      </w:pPr>
    </w:p>
    <w:p>
      <w:pPr>
        <w:pStyle w:val="Heading2"/>
        <w:keepNext/>
        <w:widowControl w:val="1"/>
      </w:pPr>
      <w:r>
        <w:rPr>
          <w:rFonts w:ascii="Arial" w:hAnsi="Arial" w:eastAsia="Arial"/>
          <w:b/>
          <w:color w:val="183A59"/>
          <w:sz w:val="25"/>
        </w:rPr>
        <w:t>12.1 Eskalasyon tetikleyicileri</w:t>
      </w:r>
    </w:p>
    <w:p>
      <w:pPr>
        <w:spacing w:after="80" w:line="280" w:lineRule="auto"/>
        <w:ind w:left="720" w:hanging="360"/>
        <w:numPr>
          <w:ilvl w:val="0"/>
          <w:numId w:val="10"/>
        </w:numPr>
        <w:widowControl w:val="1"/>
      </w:pPr>
      <w:r>
        <w:rPr>
          <w:rFonts w:ascii="Arial" w:hAnsi="Arial" w:eastAsia="Arial"/>
          <w:color w:val="142536"/>
          <w:sz w:val="21"/>
        </w:rPr>
        <w:t>Can güvenliği, çevresel yayılım, yasal ihlal şüphesi veya kritik ekipman/utility kaybı: derhal HSE/FD/GM.</w:t>
      </w:r>
    </w:p>
    <w:p>
      <w:pPr>
        <w:spacing w:after="80" w:line="280" w:lineRule="auto"/>
        <w:ind w:left="720" w:hanging="360"/>
        <w:numPr>
          <w:ilvl w:val="0"/>
          <w:numId w:val="10"/>
        </w:numPr>
        <w:widowControl w:val="1"/>
      </w:pPr>
      <w:r>
        <w:rPr>
          <w:rFonts w:ascii="Arial" w:hAnsi="Arial" w:eastAsia="Arial"/>
          <w:color w:val="142536"/>
          <w:sz w:val="21"/>
        </w:rPr>
        <w:t>OOS, veri bütünlüğü, yanlış lot/statü, uygunsuz sevkiyat veya recall potansiyeli: derhal QA/IMS ve GM.</w:t>
      </w:r>
    </w:p>
    <w:p>
      <w:pPr>
        <w:spacing w:after="80" w:line="280" w:lineRule="auto"/>
        <w:ind w:left="720" w:hanging="360"/>
        <w:numPr>
          <w:ilvl w:val="0"/>
          <w:numId w:val="10"/>
        </w:numPr>
        <w:widowControl w:val="1"/>
      </w:pPr>
      <w:r>
        <w:rPr>
          <w:rFonts w:ascii="Arial" w:hAnsi="Arial" w:eastAsia="Arial"/>
          <w:color w:val="142536"/>
          <w:sz w:val="21"/>
        </w:rPr>
        <w:t>Kritik hammadde/tedarikçi kaybı, stokout veya planı etkileyen kapasite sapması: aynı vardiyada FD ve SCM.</w:t>
      </w:r>
    </w:p>
    <w:p>
      <w:pPr>
        <w:spacing w:after="80" w:line="280" w:lineRule="auto"/>
        <w:ind w:left="720" w:hanging="360"/>
        <w:numPr>
          <w:ilvl w:val="0"/>
          <w:numId w:val="10"/>
        </w:numPr>
        <w:widowControl w:val="1"/>
      </w:pPr>
      <w:r>
        <w:rPr>
          <w:rFonts w:ascii="Arial" w:hAnsi="Arial" w:eastAsia="Arial"/>
          <w:color w:val="142536"/>
          <w:sz w:val="21"/>
        </w:rPr>
        <w:t>Tekrarlayan NCR/CAPA gecikmesi, audit engeli veya bağımsızlığa müdahale: QA/IMS’den doğrudan GM/YGG’ye.</w:t>
      </w:r>
    </w:p>
    <w:p>
      <w:pPr>
        <w:spacing w:after="80" w:line="280" w:lineRule="auto"/>
        <w:ind w:left="720" w:hanging="360"/>
        <w:numPr>
          <w:ilvl w:val="0"/>
          <w:numId w:val="10"/>
        </w:numPr>
        <w:widowControl w:val="1"/>
      </w:pPr>
      <w:r>
        <w:rPr>
          <w:rFonts w:ascii="Arial" w:hAnsi="Arial" w:eastAsia="Arial"/>
          <w:color w:val="142536"/>
          <w:sz w:val="21"/>
        </w:rPr>
        <w:t>Kritik rolün yetkin vekil olmadan boş kalması: faaliyet sınırlandırma veya kontrollü duruş kararı.</w:t>
      </w:r>
    </w:p>
    <w:p>
      <w:pPr>
        <w:pStyle w:val="Heading1"/>
        <w:keepNext/>
        <w:pageBreakBefore w:val="0"/>
        <w:widowControl w:val="1"/>
      </w:pPr>
      <w:r>
        <w:rPr>
          <w:rFonts w:ascii="Arial" w:hAnsi="Arial" w:eastAsia="Arial"/>
          <w:b/>
          <w:color w:val="197B96"/>
          <w:sz w:val="34"/>
        </w:rPr>
        <w:t>13. Kadro ve kapasite ölçekleme modeli</w:t>
      </w:r>
    </w:p>
    <w:p>
      <w:pPr>
        <w:spacing w:after="120"/>
        <w:widowControl w:val="1"/>
      </w:pPr>
      <w:r>
        <w:rPr>
          <w:rFonts w:ascii="Arial" w:hAnsi="Arial" w:eastAsia="Arial"/>
          <w:color w:val="142536"/>
          <w:sz w:val="21"/>
        </w:rPr>
        <w:t>Kadro; organizasyon şemasındaki kutu sayısına göre değil, ölçülen iş yükü ve risk üzerinden planlanır. Aynı kişi birden fazla rolü ancak bölüm 10’daki ayrım kurallarına göre taşıyabilir.</w:t>
      </w:r>
    </w:p>
    <w:tbl>
      <w:tblPr>
        <w:tblStyle w:val="TableGrid"/>
        <w:tblW w:type="dxa" w:w="963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50"/>
        <w:gridCol w:w="3540"/>
        <w:gridCol w:w="3640"/>
      </w:tblGrid>
      <w:tr>
        <w:trPr>
          <w:tblHeader w:val="true"/>
          <w:cantSplit w:val="1"/>
        </w:trPr>
        <w:tc>
          <w:tcPr>
            <w:tcW w:type="dxa" w:w="245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Tetikleyici</w:t>
            </w:r>
          </w:p>
        </w:tc>
        <w:tc>
          <w:tcPr>
            <w:tcW w:type="dxa" w:w="354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İzlenecek kanıt</w:t>
            </w:r>
          </w:p>
        </w:tc>
        <w:tc>
          <w:tcPr>
            <w:tcW w:type="dxa" w:w="364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Beklenen organizasyon aksiyonu</w:t>
            </w:r>
          </w:p>
        </w:tc>
      </w:tr>
      <w:tr>
        <w:trPr>
          <w:cantSplit w:val="1"/>
        </w:trPr>
        <w:tc>
          <w:tcPr>
            <w:tcW w:type="dxa" w:w="24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Hacim / vardiya artışı</w:t>
            </w:r>
          </w:p>
        </w:tc>
        <w:tc>
          <w:tcPr>
            <w:tcW w:type="dxa" w:w="354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Batch/iş emri sayısı, vardiya, overtime, gecikme ve devir hatası.</w:t>
            </w:r>
          </w:p>
        </w:tc>
        <w:tc>
          <w:tcPr>
            <w:tcW w:type="dxa" w:w="364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Vardiya lideri/operatör/QC kapasitesi ve planlama rolünü artır veya ayrıştır.</w:t>
            </w:r>
          </w:p>
        </w:tc>
      </w:tr>
      <w:tr>
        <w:trPr>
          <w:cantSplit w:val="1"/>
        </w:trPr>
        <w:tc>
          <w:tcPr>
            <w:tcW w:type="dxa" w:w="24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Ürün/teknoloji karmaşıklığı</w:t>
            </w:r>
          </w:p>
        </w:tc>
        <w:tc>
          <w:tcPr>
            <w:tcW w:type="dxa" w:w="354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SKU, kalıp tipi, teknik resim/BOM/WPS, metot/NDT, claim, validasyon, MOC ve teknik destek yükü.</w:t>
            </w:r>
          </w:p>
        </w:tc>
        <w:tc>
          <w:tcPr>
            <w:tcW w:type="dxa" w:w="364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AR-GE/mühendislik, kalıp tasarımı, uygulama teknik servisi ve metot/validasyon uzmanlığını ayrıştır.</w:t>
            </w:r>
          </w:p>
        </w:tc>
      </w:tr>
      <w:tr>
        <w:trPr>
          <w:cantSplit w:val="1"/>
        </w:trPr>
        <w:tc>
          <w:tcPr>
            <w:tcW w:type="dxa" w:w="24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Kalite ve laboratuvar yükü</w:t>
            </w:r>
          </w:p>
        </w:tc>
        <w:tc>
          <w:tcPr>
            <w:tcW w:type="dxa" w:w="354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Numune/test/muayene hacmi, TAT, OOS/NCR, review backlog ve release gecikmesi.</w:t>
            </w:r>
          </w:p>
        </w:tc>
        <w:tc>
          <w:tcPr>
            <w:tcW w:type="dxa" w:w="364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QC/Lab yönetimini QA sistem rolünden ayır; analyst/reviewer/release kapasitesi ekle.</w:t>
            </w:r>
          </w:p>
        </w:tc>
      </w:tr>
      <w:tr>
        <w:trPr>
          <w:cantSplit w:val="1"/>
        </w:trPr>
        <w:tc>
          <w:tcPr>
            <w:tcW w:type="dxa" w:w="24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Tedarik ve stok karmaşıklığı</w:t>
            </w:r>
          </w:p>
        </w:tc>
        <w:tc>
          <w:tcPr>
            <w:tcW w:type="dxa" w:w="354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Tedarikçi, hammadde, lot, teslimat, stok doğruluğu ve ithalat yükü.</w:t>
            </w:r>
          </w:p>
        </w:tc>
        <w:tc>
          <w:tcPr>
            <w:tcW w:type="dxa" w:w="364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Satınalma, planlama, depo ve lojistik rollerini kademeli ayır.</w:t>
            </w:r>
          </w:p>
        </w:tc>
      </w:tr>
      <w:tr>
        <w:trPr>
          <w:cantSplit w:val="1"/>
        </w:trPr>
        <w:tc>
          <w:tcPr>
            <w:tcW w:type="dxa" w:w="24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Bakım/utility riski</w:t>
            </w:r>
          </w:p>
        </w:tc>
        <w:tc>
          <w:tcPr>
            <w:tcW w:type="dxa" w:w="354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Arıza, MTBF/MTTR, PM backlog, kalibrasyon, kaynak/fikstür ekipmanı ve enerji/utility kritikliği.</w:t>
            </w:r>
          </w:p>
        </w:tc>
        <w:tc>
          <w:tcPr>
            <w:tcW w:type="dxa" w:w="364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Planner, uzman teknisyen, metrolog veya güvenilirlik rolü ekle.</w:t>
            </w:r>
          </w:p>
        </w:tc>
      </w:tr>
      <w:tr>
        <w:trPr>
          <w:cantSplit w:val="1"/>
        </w:trPr>
        <w:tc>
          <w:tcPr>
            <w:tcW w:type="dxa" w:w="24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HSE/yasal maruziyet</w:t>
            </w:r>
          </w:p>
        </w:tc>
        <w:tc>
          <w:tcPr>
            <w:tcW w:type="dxa" w:w="354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Olay, izin, kimyasal risk, atık, saha ve yasal takip yükü.</w:t>
            </w:r>
          </w:p>
        </w:tc>
        <w:tc>
          <w:tcPr>
            <w:tcW w:type="dxa" w:w="364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HSE uzmanlığı ve saha gözetimini artır; bağımsız raporlama hattını koru.</w:t>
            </w:r>
          </w:p>
        </w:tc>
      </w:tr>
      <w:tr>
        <w:trPr>
          <w:cantSplit w:val="1"/>
        </w:trPr>
        <w:tc>
          <w:tcPr>
            <w:tcW w:type="dxa" w:w="24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Kontrol backlog’u</w:t>
            </w:r>
          </w:p>
        </w:tc>
        <w:tc>
          <w:tcPr>
            <w:tcW w:type="dxa" w:w="354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CAPA/MOC/audit/doküman/eğitim gecikmesi ve veri kalitesi.</w:t>
            </w:r>
          </w:p>
        </w:tc>
        <w:tc>
          <w:tcPr>
            <w:tcW w:type="dxa" w:w="364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IMS/doküman kontrol/veri yönetişimi kapasitesini artır.</w:t>
            </w:r>
          </w:p>
        </w:tc>
      </w:tr>
    </w:tbl>
    <w:p>
      <w:pPr>
        <w:spacing w:after="40"/>
        <w:widowControl w:val="1"/>
      </w:pPr>
    </w:p>
    <w:p>
      <w:pPr>
        <w:pStyle w:val="Heading2"/>
        <w:keepNext/>
        <w:widowControl w:val="1"/>
      </w:pPr>
      <w:r>
        <w:rPr>
          <w:rFonts w:ascii="Arial" w:hAnsi="Arial" w:eastAsia="Arial"/>
          <w:b/>
          <w:color w:val="183A59"/>
          <w:sz w:val="25"/>
        </w:rPr>
        <w:t>13.1 Minimum uygulanabilir yapı</w:t>
      </w:r>
    </w:p>
    <w:p>
      <w:pPr>
        <w:spacing w:after="80" w:line="280" w:lineRule="auto"/>
        <w:ind w:left="720" w:hanging="360"/>
        <w:numPr>
          <w:ilvl w:val="0"/>
          <w:numId w:val="10"/>
        </w:numPr>
        <w:widowControl w:val="1"/>
      </w:pPr>
      <w:r>
        <w:rPr>
          <w:rFonts w:ascii="Arial" w:hAnsi="Arial" w:eastAsia="Arial"/>
          <w:color w:val="142536"/>
          <w:sz w:val="21"/>
        </w:rPr>
        <w:t>Genel Müdür, Fabrika Direktörü, bağımsız QA/IMS ve HSE erişimi; üretim, QC/lab, tedarik/depo, bakım, AR-GE ve ticari süreç sahipliği tanımlanır.</w:t>
      </w:r>
    </w:p>
    <w:p>
      <w:pPr>
        <w:spacing w:after="80" w:line="280" w:lineRule="auto"/>
        <w:ind w:left="720" w:hanging="360"/>
        <w:numPr>
          <w:ilvl w:val="0"/>
          <w:numId w:val="10"/>
        </w:numPr>
        <w:widowControl w:val="1"/>
      </w:pPr>
      <w:r>
        <w:rPr>
          <w:rFonts w:ascii="Arial" w:hAnsi="Arial" w:eastAsia="Arial"/>
          <w:color w:val="142536"/>
          <w:sz w:val="21"/>
        </w:rPr>
        <w:t>Paylaşılan Finans/İK/IT/İdari hizmetler kullanılabilir; fakat kayıt, erişim ve servis seviyesi sorumluluğu açık kalır.</w:t>
      </w:r>
    </w:p>
    <w:p>
      <w:pPr>
        <w:spacing w:after="80" w:line="280" w:lineRule="auto"/>
        <w:ind w:left="720" w:hanging="360"/>
        <w:numPr>
          <w:ilvl w:val="0"/>
          <w:numId w:val="10"/>
        </w:numPr>
        <w:widowControl w:val="1"/>
      </w:pPr>
      <w:r>
        <w:rPr>
          <w:rFonts w:ascii="Arial" w:hAnsi="Arial" w:eastAsia="Arial"/>
          <w:color w:val="142536"/>
          <w:sz w:val="21"/>
        </w:rPr>
        <w:t>QA sistem rolü ile QC operasyonu başlangıçta aynı yöneticiye raporlayabilir; test, review ve release yetkileri kişisel bazda ayrıştırılır.</w:t>
      </w:r>
    </w:p>
    <w:p>
      <w:pPr>
        <w:spacing w:after="80" w:line="280" w:lineRule="auto"/>
        <w:ind w:left="720" w:hanging="360"/>
        <w:numPr>
          <w:ilvl w:val="0"/>
          <w:numId w:val="10"/>
        </w:numPr>
        <w:widowControl w:val="1"/>
      </w:pPr>
      <w:r>
        <w:rPr>
          <w:rFonts w:ascii="Arial" w:hAnsi="Arial" w:eastAsia="Arial"/>
          <w:color w:val="142536"/>
          <w:sz w:val="21"/>
        </w:rPr>
        <w:t>SCM ve Depo aynı M1 altında olabilir; talep, PO, kabul, statü, issue ve ödeme kontrol noktaları ayrı tutulur.</w:t>
      </w:r>
    </w:p>
    <w:p>
      <w:pPr>
        <w:spacing w:after="80" w:line="280" w:lineRule="auto"/>
        <w:ind w:left="720" w:hanging="360"/>
        <w:numPr>
          <w:ilvl w:val="0"/>
          <w:numId w:val="10"/>
        </w:numPr>
        <w:widowControl w:val="1"/>
      </w:pPr>
      <w:r>
        <w:rPr>
          <w:rFonts w:ascii="Arial" w:hAnsi="Arial" w:eastAsia="Arial"/>
          <w:color w:val="142536"/>
          <w:sz w:val="21"/>
        </w:rPr>
        <w:t>Kritik bağımsızlık veya kapasite sağlanamıyorsa süreç dış kaynakla desteklenir ya da faaliyet kontrollü sınırlandırılır.</w:t>
      </w:r>
    </w:p>
    <w:p>
      <w:pPr>
        <w:pStyle w:val="Heading1"/>
        <w:keepNext/>
        <w:pageBreakBefore w:val="0"/>
        <w:widowControl w:val="1"/>
      </w:pPr>
      <w:r>
        <w:rPr>
          <w:rFonts w:ascii="Arial" w:hAnsi="Arial" w:eastAsia="Arial"/>
          <w:b/>
          <w:color w:val="197B96"/>
          <w:sz w:val="34"/>
        </w:rPr>
        <w:t>14. Yetkinlik, atama ve yetkilendirme</w:t>
      </w:r>
    </w:p>
    <w:p>
      <w:pPr>
        <w:spacing w:after="120"/>
        <w:widowControl w:val="1"/>
      </w:pPr>
      <w:r>
        <w:rPr>
          <w:rFonts w:ascii="Arial" w:hAnsi="Arial" w:eastAsia="Arial"/>
          <w:color w:val="142536"/>
          <w:sz w:val="21"/>
        </w:rPr>
        <w:t>Bir role atanmak tek başına karar yetkisi oluşturmaz. Yetki; onaylı görev tanımı, asgari yetkinlik, eğitim, gözetimli uygulama, değerlendirme, imza/erişim ve periyodik yeniden onayla verilir.</w:t>
      </w:r>
    </w:p>
    <w:tbl>
      <w:tblPr>
        <w:tblStyle w:val="TableGrid"/>
        <w:tblW w:type="dxa" w:w="963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50"/>
        <w:gridCol w:w="4900"/>
        <w:gridCol w:w="2780"/>
      </w:tblGrid>
      <w:tr>
        <w:trPr>
          <w:tblHeader w:val="true"/>
          <w:cantSplit w:val="1"/>
        </w:trPr>
        <w:tc>
          <w:tcPr>
            <w:tcW w:type="dxa" w:w="195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Aşama</w:t>
            </w:r>
          </w:p>
        </w:tc>
        <w:tc>
          <w:tcPr>
            <w:tcW w:type="dxa" w:w="490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Zorunlu kanıt</w:t>
            </w:r>
          </w:p>
        </w:tc>
        <w:tc>
          <w:tcPr>
            <w:tcW w:type="dxa" w:w="278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Onay / kontrol</w:t>
            </w:r>
          </w:p>
        </w:tc>
      </w:tr>
      <w:tr>
        <w:trPr>
          <w:cantSplit w:val="1"/>
        </w:trPr>
        <w:tc>
          <w:tcPr>
            <w:tcW w:type="dxa" w:w="19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Rol gereksinimi</w:t>
            </w:r>
          </w:p>
        </w:tc>
        <w:tc>
          <w:tcPr>
            <w:tcW w:type="dxa" w:w="49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Amaç, A/R/C/I/V, yetki limiti, KPI, risk, kayıt ve vekâlet.</w:t>
            </w:r>
          </w:p>
        </w:tc>
        <w:tc>
          <w:tcPr>
            <w:tcW w:type="dxa" w:w="278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Fonksiyon sahibi + QA/IMS/İK review</w:t>
            </w:r>
          </w:p>
        </w:tc>
      </w:tr>
      <w:tr>
        <w:trPr>
          <w:cantSplit w:val="1"/>
        </w:trPr>
        <w:tc>
          <w:tcPr>
            <w:tcW w:type="dxa" w:w="19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Aday değerlendirme</w:t>
            </w:r>
          </w:p>
        </w:tc>
        <w:tc>
          <w:tcPr>
            <w:tcW w:type="dxa" w:w="49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Eğitim, deneyim, teknik/organizasyonel ve yasal yeterlilik gap analizi.</w:t>
            </w:r>
          </w:p>
        </w:tc>
        <w:tc>
          <w:tcPr>
            <w:tcW w:type="dxa" w:w="278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Fonksiyon yöneticisi + İK</w:t>
            </w:r>
          </w:p>
        </w:tc>
      </w:tr>
      <w:tr>
        <w:trPr>
          <w:cantSplit w:val="1"/>
        </w:trPr>
        <w:tc>
          <w:tcPr>
            <w:tcW w:type="dxa" w:w="19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İşe giriş / atama</w:t>
            </w:r>
          </w:p>
        </w:tc>
        <w:tc>
          <w:tcPr>
            <w:tcW w:type="dxa" w:w="49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Onaylı görev tanımı, organizasyon kaydı, gizlilik/etik ve sağlık-yeterlilik şartı.</w:t>
            </w:r>
          </w:p>
        </w:tc>
        <w:tc>
          <w:tcPr>
            <w:tcW w:type="dxa" w:w="278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Yetkili yönetici</w:t>
            </w:r>
          </w:p>
        </w:tc>
      </w:tr>
      <w:tr>
        <w:trPr>
          <w:cantSplit w:val="1"/>
        </w:trPr>
        <w:tc>
          <w:tcPr>
            <w:tcW w:type="dxa" w:w="19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Eğitim ve gözetim</w:t>
            </w:r>
          </w:p>
        </w:tc>
        <w:tc>
          <w:tcPr>
            <w:tcW w:type="dxa" w:w="49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Prosedür/SOP, HSE, veri bütünlüğü, acil durum ve rol bazlı uygulama.</w:t>
            </w:r>
          </w:p>
        </w:tc>
        <w:tc>
          <w:tcPr>
            <w:tcW w:type="dxa" w:w="278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Eğitmen + yönetici</w:t>
            </w:r>
          </w:p>
        </w:tc>
      </w:tr>
      <w:tr>
        <w:trPr>
          <w:cantSplit w:val="1"/>
        </w:trPr>
        <w:tc>
          <w:tcPr>
            <w:tcW w:type="dxa" w:w="19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Yetkilendirme</w:t>
            </w:r>
          </w:p>
        </w:tc>
        <w:tc>
          <w:tcPr>
            <w:tcW w:type="dxa" w:w="49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Pratik değerlendirme, imza/erişim seviyesi, kapsam ve geçerlilik.</w:t>
            </w:r>
          </w:p>
        </w:tc>
        <w:tc>
          <w:tcPr>
            <w:tcW w:type="dxa" w:w="278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Teknik sahibi + QA/HSE gerektiğinde</w:t>
            </w:r>
          </w:p>
        </w:tc>
      </w:tr>
      <w:tr>
        <w:trPr>
          <w:cantSplit w:val="1"/>
        </w:trPr>
        <w:tc>
          <w:tcPr>
            <w:tcW w:type="dxa" w:w="19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Performans review</w:t>
            </w:r>
          </w:p>
        </w:tc>
        <w:tc>
          <w:tcPr>
            <w:tcW w:type="dxa" w:w="49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KPI, davranış, hata/sapma, eğitim etkinliği ve gelişim planı.</w:t>
            </w:r>
          </w:p>
        </w:tc>
        <w:tc>
          <w:tcPr>
            <w:tcW w:type="dxa" w:w="278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Yönetici; bağımsız geri bildirim</w:t>
            </w:r>
          </w:p>
        </w:tc>
      </w:tr>
      <w:tr>
        <w:trPr>
          <w:cantSplit w:val="1"/>
        </w:trPr>
        <w:tc>
          <w:tcPr>
            <w:tcW w:type="dxa" w:w="19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Yenileme / geri çekme</w:t>
            </w:r>
          </w:p>
        </w:tc>
        <w:tc>
          <w:tcPr>
            <w:tcW w:type="dxa" w:w="49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Süre, rol değişikliği, uzun ara, uygunsuzluk veya yetkinlik kaybı tetikleyicisi.</w:t>
            </w:r>
          </w:p>
        </w:tc>
        <w:tc>
          <w:tcPr>
            <w:tcW w:type="dxa" w:w="278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Yetki sahibi + sistem erişim kontrolü</w:t>
            </w:r>
          </w:p>
        </w:tc>
      </w:tr>
    </w:tbl>
    <w:p>
      <w:pPr>
        <w:spacing w:after="40"/>
        <w:widowControl w:val="1"/>
      </w:pPr>
    </w:p>
    <w:p>
      <w:pPr>
        <w:pStyle w:val="Heading2"/>
        <w:keepNext/>
        <w:widowControl w:val="1"/>
      </w:pPr>
      <w:r>
        <w:rPr>
          <w:rFonts w:ascii="Arial" w:hAnsi="Arial" w:eastAsia="Arial"/>
          <w:b/>
          <w:color w:val="183A59"/>
          <w:sz w:val="25"/>
        </w:rPr>
        <w:t>14.1 Kritik yetkilendirmeler</w:t>
      </w:r>
    </w:p>
    <w:p>
      <w:pPr>
        <w:spacing w:after="80" w:line="280" w:lineRule="auto"/>
        <w:ind w:left="720" w:hanging="360"/>
        <w:numPr>
          <w:ilvl w:val="0"/>
          <w:numId w:val="10"/>
        </w:numPr>
        <w:widowControl w:val="1"/>
      </w:pPr>
      <w:r>
        <w:rPr>
          <w:rFonts w:ascii="Arial" w:hAnsi="Arial" w:eastAsia="Arial"/>
          <w:color w:val="142536"/>
          <w:sz w:val="21"/>
        </w:rPr>
        <w:t>Ürün serbest bırakma, CoA, OOS review, metot onayı ve laboratuvar veri review.</w:t>
      </w:r>
    </w:p>
    <w:p>
      <w:pPr>
        <w:spacing w:after="80" w:line="280" w:lineRule="auto"/>
        <w:ind w:left="720" w:hanging="360"/>
        <w:numPr>
          <w:ilvl w:val="0"/>
          <w:numId w:val="10"/>
        </w:numPr>
        <w:widowControl w:val="1"/>
      </w:pPr>
      <w:r>
        <w:rPr>
          <w:rFonts w:ascii="Arial" w:hAnsi="Arial" w:eastAsia="Arial"/>
          <w:color w:val="142536"/>
          <w:sz w:val="21"/>
        </w:rPr>
        <w:t>Reçete/master-data değişikliği, MOC onayı ve validasyon kabulü.</w:t>
      </w:r>
    </w:p>
    <w:p>
      <w:pPr>
        <w:spacing w:after="80" w:line="280" w:lineRule="auto"/>
        <w:ind w:left="720" w:hanging="360"/>
        <w:numPr>
          <w:ilvl w:val="0"/>
          <w:numId w:val="10"/>
        </w:numPr>
        <w:widowControl w:val="1"/>
      </w:pPr>
      <w:r>
        <w:rPr>
          <w:rFonts w:ascii="Arial" w:hAnsi="Arial" w:eastAsia="Arial"/>
          <w:color w:val="142536"/>
          <w:sz w:val="21"/>
        </w:rPr>
        <w:t>Kritik ekipman kullanımı, bakım/LOTO, kalibrasyon ve ölçüm sonucu review.</w:t>
      </w:r>
    </w:p>
    <w:p>
      <w:pPr>
        <w:spacing w:after="80" w:line="280" w:lineRule="auto"/>
        <w:ind w:left="720" w:hanging="360"/>
        <w:numPr>
          <w:ilvl w:val="0"/>
          <w:numId w:val="10"/>
        </w:numPr>
        <w:widowControl w:val="1"/>
      </w:pPr>
      <w:r>
        <w:rPr>
          <w:rFonts w:ascii="Arial" w:hAnsi="Arial" w:eastAsia="Arial"/>
          <w:color w:val="142536"/>
          <w:sz w:val="21"/>
        </w:rPr>
        <w:t>HSE stop-work kaldırma, acil durum rolleri ve yasal bildirim hazırlığı.</w:t>
      </w:r>
    </w:p>
    <w:p>
      <w:pPr>
        <w:spacing w:after="80" w:line="280" w:lineRule="auto"/>
        <w:ind w:left="720" w:hanging="360"/>
        <w:numPr>
          <w:ilvl w:val="0"/>
          <w:numId w:val="10"/>
        </w:numPr>
        <w:widowControl w:val="1"/>
      </w:pPr>
      <w:r>
        <w:rPr>
          <w:rFonts w:ascii="Arial" w:hAnsi="Arial" w:eastAsia="Arial"/>
          <w:color w:val="142536"/>
          <w:sz w:val="21"/>
        </w:rPr>
        <w:t>PO/finansal onay, stok düzeltme, ERP statü değişikliği ve kontrollü veri yönetimi.</w:t>
      </w:r>
    </w:p>
    <w:p>
      <w:pPr>
        <w:spacing w:after="80" w:line="280" w:lineRule="auto"/>
        <w:ind w:left="720" w:hanging="360"/>
        <w:numPr>
          <w:ilvl w:val="0"/>
          <w:numId w:val="10"/>
        </w:numPr>
        <w:widowControl w:val="1"/>
      </w:pPr>
      <w:r>
        <w:rPr>
          <w:rFonts w:ascii="Arial" w:hAnsi="Arial" w:eastAsia="Arial"/>
          <w:color w:val="142536"/>
          <w:sz w:val="21"/>
        </w:rPr>
        <w:t>İç tetkik, CAPA etkinlik doğrulaması ve doküman yayın/iptal işlemleri.</w:t>
      </w:r>
    </w:p>
    <w:p>
      <w:pPr>
        <w:pStyle w:val="Heading1"/>
        <w:keepNext/>
        <w:pageBreakBefore w:val="0"/>
        <w:widowControl w:val="1"/>
      </w:pPr>
      <w:r>
        <w:rPr>
          <w:rFonts w:ascii="Arial" w:hAnsi="Arial" w:eastAsia="Arial"/>
          <w:b/>
          <w:color w:val="197B96"/>
          <w:sz w:val="34"/>
        </w:rPr>
        <w:t>15. Organizasyon değişikliği ve MOC</w:t>
      </w:r>
    </w:p>
    <w:p>
      <w:pPr>
        <w:spacing w:after="120"/>
        <w:widowControl w:val="1"/>
      </w:pPr>
      <w:r>
        <w:rPr>
          <w:rFonts w:ascii="Arial" w:hAnsi="Arial" w:eastAsia="Arial"/>
          <w:color w:val="142536"/>
          <w:sz w:val="21"/>
        </w:rPr>
        <w:t>Yeni rol, raporlama hattı, rol birleşimi/ayrımı, dış kaynak, vardiya modeli, kritik pozisyon boşluğu veya yetki limiti değişikliği Organization MOC olarak yönetilir.</w:t>
      </w:r>
    </w:p>
    <w:p>
      <w:pPr>
        <w:pStyle w:val="Heading2"/>
        <w:keepNext/>
        <w:widowControl w:val="1"/>
      </w:pPr>
      <w:r>
        <w:rPr>
          <w:rFonts w:ascii="Arial" w:hAnsi="Arial" w:eastAsia="Arial"/>
          <w:b/>
          <w:color w:val="183A59"/>
          <w:sz w:val="25"/>
        </w:rPr>
        <w:t>15.1 MOC kontrol adımları</w:t>
      </w:r>
    </w:p>
    <w:p>
      <w:pPr>
        <w:spacing w:after="80" w:line="280" w:lineRule="auto"/>
        <w:ind w:left="720" w:hanging="360"/>
        <w:numPr>
          <w:ilvl w:val="0"/>
          <w:numId w:val="15"/>
        </w:numPr>
        <w:widowControl w:val="1"/>
      </w:pPr>
      <w:r>
        <w:rPr>
          <w:rFonts w:ascii="Arial" w:hAnsi="Arial" w:eastAsia="Arial"/>
          <w:color w:val="142536"/>
          <w:sz w:val="21"/>
        </w:rPr>
        <w:t>Değişikliğin gerekçesi, kapsamı, geçici/kalıcı statüsü ve sahibi tanımlanır.</w:t>
      </w:r>
    </w:p>
    <w:p>
      <w:pPr>
        <w:spacing w:after="80" w:line="280" w:lineRule="auto"/>
        <w:ind w:left="720" w:hanging="360"/>
        <w:numPr>
          <w:ilvl w:val="0"/>
          <w:numId w:val="15"/>
        </w:numPr>
        <w:widowControl w:val="1"/>
      </w:pPr>
      <w:r>
        <w:rPr>
          <w:rFonts w:ascii="Arial" w:hAnsi="Arial" w:eastAsia="Arial"/>
          <w:color w:val="142536"/>
          <w:sz w:val="21"/>
        </w:rPr>
        <w:t>Süreç, kalite, HSE, yasal, veri, müşteri, kapasite, SoD, yetkinlik ve iş sürekliliği etkileri değerlendirilir.</w:t>
      </w:r>
    </w:p>
    <w:p>
      <w:pPr>
        <w:spacing w:after="80" w:line="280" w:lineRule="auto"/>
        <w:ind w:left="720" w:hanging="360"/>
        <w:numPr>
          <w:ilvl w:val="0"/>
          <w:numId w:val="15"/>
        </w:numPr>
        <w:widowControl w:val="1"/>
      </w:pPr>
      <w:r>
        <w:rPr>
          <w:rFonts w:ascii="Arial" w:hAnsi="Arial" w:eastAsia="Arial"/>
          <w:color w:val="142536"/>
          <w:sz w:val="21"/>
        </w:rPr>
        <w:t>Yeni RACI/DoA, görev tanımı, vekâlet, erişim, eğitim ve iletişim gereksinimleri belirlenir.</w:t>
      </w:r>
    </w:p>
    <w:p>
      <w:pPr>
        <w:spacing w:after="80" w:line="280" w:lineRule="auto"/>
        <w:ind w:left="720" w:hanging="360"/>
        <w:numPr>
          <w:ilvl w:val="0"/>
          <w:numId w:val="15"/>
        </w:numPr>
        <w:widowControl w:val="1"/>
      </w:pPr>
      <w:r>
        <w:rPr>
          <w:rFonts w:ascii="Arial" w:hAnsi="Arial" w:eastAsia="Arial"/>
          <w:color w:val="142536"/>
          <w:sz w:val="21"/>
        </w:rPr>
        <w:t>QA/IMS, HSE, İK ve etkilenen süreç sahipleri review eder; D2/D3 seviyesine göre onay alınır.</w:t>
      </w:r>
    </w:p>
    <w:p>
      <w:pPr>
        <w:spacing w:after="80" w:line="280" w:lineRule="auto"/>
        <w:ind w:left="720" w:hanging="360"/>
        <w:numPr>
          <w:ilvl w:val="0"/>
          <w:numId w:val="15"/>
        </w:numPr>
        <w:widowControl w:val="1"/>
      </w:pPr>
      <w:r>
        <w:rPr>
          <w:rFonts w:ascii="Arial" w:hAnsi="Arial" w:eastAsia="Arial"/>
          <w:color w:val="142536"/>
          <w:sz w:val="21"/>
        </w:rPr>
        <w:t>Eski organizasyon dokümanları geri çekilir; master data, workflow ve erişimler eş zamanlı güncellenir.</w:t>
      </w:r>
    </w:p>
    <w:p>
      <w:pPr>
        <w:spacing w:after="80" w:line="280" w:lineRule="auto"/>
        <w:ind w:left="720" w:hanging="360"/>
        <w:numPr>
          <w:ilvl w:val="0"/>
          <w:numId w:val="15"/>
        </w:numPr>
        <w:widowControl w:val="1"/>
      </w:pPr>
      <w:r>
        <w:rPr>
          <w:rFonts w:ascii="Arial" w:hAnsi="Arial" w:eastAsia="Arial"/>
          <w:color w:val="142536"/>
          <w:sz w:val="21"/>
        </w:rPr>
        <w:t>30/60/90 günlük veya riskle belirlenen sürede performans, kontrol etkinliği ve beklenmeyen etkiler review edilir.</w:t>
      </w:r>
    </w:p>
    <w:tbl>
      <w:tblPr>
        <w:tblW w:type="dxa" w:w="957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570"/>
      </w:tblGrid>
      <w:tr>
        <w:trPr>
          <w:cantSplit w:val="1"/>
        </w:trPr>
        <w:tc>
          <w:tcPr>
            <w:tcW w:type="dxa" w:w="9570"/>
            <w:shd w:fill="EAF2F6"/>
            <w:tcBorders>
              <w:top w:val="single" w:sz="5" w:space="0" w:color="C7D7E2"/>
              <w:left w:val="single" w:sz="5" w:space="0" w:color="C7D7E2"/>
              <w:bottom w:val="single" w:sz="5" w:space="0" w:color="C7D7E2"/>
              <w:right w:val="single" w:sz="5" w:space="0" w:color="C7D7E2"/>
              <w:insideH w:val="single" w:sz="5" w:space="0" w:color="C7D7E2"/>
              <w:insideV w:val="single" w:sz="5" w:space="0" w:color="C7D7E2"/>
            </w:tcBorders>
            <w:vAlign w:val="center"/>
            <w:tcMar>
              <w:top w:w="125" w:type="dxa"/>
              <w:bottom w:w="125" w:type="dxa"/>
              <w:start w:w="180" w:type="dxa"/>
              <w:end w:w="18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 w:eastAsia="Arial"/>
                <w:b/>
                <w:color w:val="183A59"/>
                <w:sz w:val="21"/>
              </w:rPr>
              <w:t>Geçici görev kuralı</w:t>
            </w:r>
          </w:p>
          <w:p>
            <w:pPr>
              <w:spacing w:after="0" w:line="269" w:lineRule="auto"/>
            </w:pPr>
            <w:r>
              <w:rPr>
                <w:rFonts w:ascii="Arial" w:hAnsi="Arial" w:eastAsia="Arial"/>
                <w:color w:val="142536"/>
                <w:sz w:val="21"/>
              </w:rPr>
              <w:t>“Geçici” atama kontrolsüz olamaz. Başlangıç/bitiş tarihi, yetki kapsamı, vekâlet, eğitim ve erişim tanımlanmazsa rol değişikliği yürürlüğe giremez.</w:t>
            </w:r>
          </w:p>
        </w:tc>
      </w:tr>
    </w:tbl>
    <w:p>
      <w:pPr>
        <w:spacing w:after="20"/>
        <w:widowControl w:val="1"/>
      </w:pPr>
    </w:p>
    <w:p>
      <w:pPr>
        <w:pStyle w:val="Heading1"/>
        <w:keepNext/>
        <w:pageBreakBefore w:val="0"/>
        <w:widowControl w:val="1"/>
      </w:pPr>
      <w:r>
        <w:rPr>
          <w:rFonts w:ascii="Arial" w:hAnsi="Arial" w:eastAsia="Arial"/>
          <w:b/>
          <w:color w:val="197B96"/>
          <w:sz w:val="34"/>
        </w:rPr>
        <w:t>16. IMS dokümanları ve süreç paketleriyle bağlantı</w:t>
      </w:r>
    </w:p>
    <w:tbl>
      <w:tblPr>
        <w:tblStyle w:val="TableGrid"/>
        <w:tblW w:type="dxa" w:w="963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3810"/>
        <w:gridCol w:w="3520"/>
      </w:tblGrid>
      <w:tr>
        <w:trPr>
          <w:tblHeader w:val="true"/>
          <w:cantSplit w:val="1"/>
        </w:trPr>
        <w:tc>
          <w:tcPr>
            <w:tcW w:type="dxa" w:w="230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Mimari katman / paket</w:t>
            </w:r>
          </w:p>
        </w:tc>
        <w:tc>
          <w:tcPr>
            <w:tcW w:type="dxa" w:w="381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MAPA-CDD-002’den aldığı girdi</w:t>
            </w:r>
          </w:p>
        </w:tc>
        <w:tc>
          <w:tcPr>
            <w:tcW w:type="dxa" w:w="352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Bağlayıcı çıktı</w:t>
            </w:r>
          </w:p>
        </w:tc>
      </w:tr>
      <w:tr>
        <w:trPr>
          <w:cantSplit w:val="1"/>
        </w:trPr>
        <w:tc>
          <w:tcPr>
            <w:tcW w:type="dxa" w:w="23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L1 — CDD / IMS Manual</w:t>
            </w:r>
          </w:p>
        </w:tc>
        <w:tc>
          <w:tcPr>
            <w:tcW w:type="dxa" w:w="381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Yönetim yapısı, roller, bağımsızlık ve süreç sahipliği.</w:t>
            </w:r>
          </w:p>
        </w:tc>
        <w:tc>
          <w:tcPr>
            <w:tcW w:type="dxa" w:w="352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IMS kapsamı, liderlik, görev/yetki ve organizasyon bağlamı.</w:t>
            </w:r>
          </w:p>
        </w:tc>
      </w:tr>
      <w:tr>
        <w:trPr>
          <w:cantSplit w:val="1"/>
        </w:trPr>
        <w:tc>
          <w:tcPr>
            <w:tcW w:type="dxa" w:w="23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L2 — Prosedürler</w:t>
            </w:r>
          </w:p>
        </w:tc>
        <w:tc>
          <w:tcPr>
            <w:tcW w:type="dxa" w:w="381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A/R/C/I/V, DoA, eskalasyon ve arayüzler.</w:t>
            </w:r>
          </w:p>
        </w:tc>
        <w:tc>
          <w:tcPr>
            <w:tcW w:type="dxa" w:w="352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Kim-ne-zaman-hangi kayıtla süreç yönetimi.</w:t>
            </w:r>
          </w:p>
        </w:tc>
      </w:tr>
      <w:tr>
        <w:trPr>
          <w:cantSplit w:val="1"/>
        </w:trPr>
        <w:tc>
          <w:tcPr>
            <w:tcW w:type="dxa" w:w="23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L3 — SOP/WI/Control Plan</w:t>
            </w:r>
          </w:p>
        </w:tc>
        <w:tc>
          <w:tcPr>
            <w:tcW w:type="dxa" w:w="381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İşi yapan ve kontrol eden yetkin roller.</w:t>
            </w:r>
          </w:p>
        </w:tc>
        <w:tc>
          <w:tcPr>
            <w:tcW w:type="dxa" w:w="352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Adım bazlı uygulama, kontrol ve accept/reject kriterleri.</w:t>
            </w:r>
          </w:p>
        </w:tc>
      </w:tr>
      <w:tr>
        <w:trPr>
          <w:cantSplit w:val="1"/>
        </w:trPr>
        <w:tc>
          <w:tcPr>
            <w:tcW w:type="dxa" w:w="23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L4 — Form/Kayıt/Log</w:t>
            </w:r>
          </w:p>
        </w:tc>
        <w:tc>
          <w:tcPr>
            <w:tcW w:type="dxa" w:w="381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İmza, review, onay, vekâlet ve audit trail ihtiyacı.</w:t>
            </w:r>
          </w:p>
        </w:tc>
        <w:tc>
          <w:tcPr>
            <w:tcW w:type="dxa" w:w="352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Kararın ve uygulamanın objektif kanıtı.</w:t>
            </w:r>
          </w:p>
        </w:tc>
      </w:tr>
      <w:tr>
        <w:trPr>
          <w:cantSplit w:val="1"/>
        </w:trPr>
        <w:tc>
          <w:tcPr>
            <w:tcW w:type="dxa" w:w="23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L5 — Master Data</w:t>
            </w:r>
          </w:p>
        </w:tc>
        <w:tc>
          <w:tcPr>
            <w:tcW w:type="dxa" w:w="381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Rol kodu, erişim, reçete/metot, limit ve organizasyon ilişkisi.</w:t>
            </w:r>
          </w:p>
        </w:tc>
        <w:tc>
          <w:tcPr>
            <w:tcW w:type="dxa" w:w="352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Kontrollü dijital referans veri.</w:t>
            </w:r>
          </w:p>
        </w:tc>
      </w:tr>
      <w:tr>
        <w:trPr>
          <w:cantSplit w:val="1"/>
        </w:trPr>
        <w:tc>
          <w:tcPr>
            <w:tcW w:type="dxa" w:w="23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P4 — SCM/Incoming Quality/Warehouse</w:t>
            </w:r>
          </w:p>
        </w:tc>
        <w:tc>
          <w:tcPr>
            <w:tcW w:type="dxa" w:w="381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SCM, Depo, QC/QA görev ayrılığı ve statü yetkisi.</w:t>
            </w:r>
          </w:p>
        </w:tc>
        <w:tc>
          <w:tcPr>
            <w:tcW w:type="dxa" w:w="352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ASL, PO, kabul, giriş kontrol, HOLD/RELEASE ve stok kayıtları.</w:t>
            </w:r>
          </w:p>
        </w:tc>
      </w:tr>
    </w:tbl>
    <w:p>
      <w:pPr>
        <w:spacing w:after="40"/>
        <w:widowControl w:val="1"/>
      </w:pPr>
    </w:p>
    <w:p>
      <w:pPr>
        <w:pStyle w:val="Heading2"/>
        <w:keepNext/>
        <w:widowControl w:val="1"/>
      </w:pPr>
      <w:r>
        <w:rPr>
          <w:rFonts w:ascii="Arial" w:hAnsi="Arial" w:eastAsia="Arial"/>
          <w:b/>
          <w:color w:val="183A59"/>
          <w:sz w:val="25"/>
        </w:rPr>
        <w:t>16.1 Zorunlu kurumsal kayıt seti</w:t>
      </w:r>
    </w:p>
    <w:tbl>
      <w:tblPr>
        <w:tblStyle w:val="TableGrid"/>
        <w:tblW w:type="dxa" w:w="963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80"/>
        <w:gridCol w:w="2300"/>
        <w:gridCol w:w="4250"/>
      </w:tblGrid>
      <w:tr>
        <w:trPr>
          <w:tblHeader w:val="true"/>
          <w:cantSplit w:val="1"/>
        </w:trPr>
        <w:tc>
          <w:tcPr>
            <w:tcW w:type="dxa" w:w="308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Önerilen kayıt / master</w:t>
            </w:r>
          </w:p>
        </w:tc>
        <w:tc>
          <w:tcPr>
            <w:tcW w:type="dxa" w:w="230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Sahip</w:t>
            </w:r>
          </w:p>
        </w:tc>
        <w:tc>
          <w:tcPr>
            <w:tcW w:type="dxa" w:w="425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Asgari içerik</w:t>
            </w:r>
          </w:p>
        </w:tc>
      </w:tr>
      <w:tr>
        <w:trPr>
          <w:cantSplit w:val="1"/>
        </w:trPr>
        <w:tc>
          <w:tcPr>
            <w:tcW w:type="dxa" w:w="308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5"/>
              </w:rPr>
              <w:t>ORG-MST-001 Organization &amp; Role Master</w:t>
            </w:r>
          </w:p>
        </w:tc>
        <w:tc>
          <w:tcPr>
            <w:tcW w:type="dxa" w:w="23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QA/IMS + İK</w:t>
            </w:r>
          </w:p>
        </w:tc>
        <w:tc>
          <w:tcPr>
            <w:tcW w:type="dxa" w:w="42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Rol kodu, raporlama, süreç, A/R/V, vekil, statü ve yürürlük.</w:t>
            </w:r>
          </w:p>
        </w:tc>
      </w:tr>
      <w:tr>
        <w:trPr>
          <w:cantSplit w:val="1"/>
        </w:trPr>
        <w:tc>
          <w:tcPr>
            <w:tcW w:type="dxa" w:w="308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5"/>
              </w:rPr>
              <w:t>ORG-CHT-001 Organization Chart</w:t>
            </w:r>
          </w:p>
        </w:tc>
        <w:tc>
          <w:tcPr>
            <w:tcW w:type="dxa" w:w="23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Genel Müdür / İK</w:t>
            </w:r>
          </w:p>
        </w:tc>
        <w:tc>
          <w:tcPr>
            <w:tcW w:type="dxa" w:w="42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Onaylı rol kutuları, idari/işlevsel hatlar ve revizyon.</w:t>
            </w:r>
          </w:p>
        </w:tc>
      </w:tr>
      <w:tr>
        <w:trPr>
          <w:cantSplit w:val="1"/>
        </w:trPr>
        <w:tc>
          <w:tcPr>
            <w:tcW w:type="dxa" w:w="308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5"/>
              </w:rPr>
              <w:t>ORG-RACI-001 Enterprise RACI</w:t>
            </w:r>
          </w:p>
        </w:tc>
        <w:tc>
          <w:tcPr>
            <w:tcW w:type="dxa" w:w="23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QA/IMS</w:t>
            </w:r>
          </w:p>
        </w:tc>
        <w:tc>
          <w:tcPr>
            <w:tcW w:type="dxa" w:w="42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Uçtan uca süreç ve tek A; R/C/I/V ilişkileri.</w:t>
            </w:r>
          </w:p>
        </w:tc>
      </w:tr>
      <w:tr>
        <w:trPr>
          <w:cantSplit w:val="1"/>
        </w:trPr>
        <w:tc>
          <w:tcPr>
            <w:tcW w:type="dxa" w:w="308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5"/>
              </w:rPr>
              <w:t>ORG-DOA-001 Delegation Matrix</w:t>
            </w:r>
          </w:p>
        </w:tc>
        <w:tc>
          <w:tcPr>
            <w:tcW w:type="dxa" w:w="23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Genel Müdür / Finans / QA</w:t>
            </w:r>
          </w:p>
        </w:tc>
        <w:tc>
          <w:tcPr>
            <w:tcW w:type="dxa" w:w="42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Karar/finans limitleri, delege, süre, kayıt ve istisna.</w:t>
            </w:r>
          </w:p>
        </w:tc>
      </w:tr>
      <w:tr>
        <w:trPr>
          <w:cantSplit w:val="1"/>
        </w:trPr>
        <w:tc>
          <w:tcPr>
            <w:tcW w:type="dxa" w:w="308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5"/>
              </w:rPr>
              <w:t>ORG-DEP-001 Deputization Matrix</w:t>
            </w:r>
          </w:p>
        </w:tc>
        <w:tc>
          <w:tcPr>
            <w:tcW w:type="dxa" w:w="23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İK + fonksiyon sahipleri</w:t>
            </w:r>
          </w:p>
        </w:tc>
        <w:tc>
          <w:tcPr>
            <w:tcW w:type="dxa" w:w="42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Asıl/vekil, kapsam, süre, yetkinlik ve erişim.</w:t>
            </w:r>
          </w:p>
        </w:tc>
      </w:tr>
      <w:tr>
        <w:trPr>
          <w:cantSplit w:val="1"/>
        </w:trPr>
        <w:tc>
          <w:tcPr>
            <w:tcW w:type="dxa" w:w="308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5"/>
              </w:rPr>
              <w:t>ORG-JD-### Role / Job Description</w:t>
            </w:r>
          </w:p>
        </w:tc>
        <w:tc>
          <w:tcPr>
            <w:tcW w:type="dxa" w:w="23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Fonksiyon sahibi + İK</w:t>
            </w:r>
          </w:p>
        </w:tc>
        <w:tc>
          <w:tcPr>
            <w:tcW w:type="dxa" w:w="42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Amaç, çıktı, görev, yetki, KPI, risk, yetkinlik ve vekâlet.</w:t>
            </w:r>
          </w:p>
        </w:tc>
      </w:tr>
      <w:tr>
        <w:trPr>
          <w:cantSplit w:val="1"/>
        </w:trPr>
        <w:tc>
          <w:tcPr>
            <w:tcW w:type="dxa" w:w="308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5"/>
              </w:rPr>
              <w:t>HR-CMP-001 Competence Matrix</w:t>
            </w:r>
          </w:p>
        </w:tc>
        <w:tc>
          <w:tcPr>
            <w:tcW w:type="dxa" w:w="23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İK + fonksiyon sahipleri</w:t>
            </w:r>
          </w:p>
        </w:tc>
        <w:tc>
          <w:tcPr>
            <w:tcW w:type="dxa" w:w="42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Rol gereksinimi, kişi yeterliliği, gap, eğitim ve yetki durumu.</w:t>
            </w:r>
          </w:p>
        </w:tc>
      </w:tr>
      <w:tr>
        <w:trPr>
          <w:cantSplit w:val="1"/>
        </w:trPr>
        <w:tc>
          <w:tcPr>
            <w:tcW w:type="dxa" w:w="308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5"/>
              </w:rPr>
              <w:t>ORG-MOC-001 Organization Change Record</w:t>
            </w:r>
          </w:p>
        </w:tc>
        <w:tc>
          <w:tcPr>
            <w:tcW w:type="dxa" w:w="23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Değişiklik sahibi + QA/IMS</w:t>
            </w:r>
          </w:p>
        </w:tc>
        <w:tc>
          <w:tcPr>
            <w:tcW w:type="dxa" w:w="42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5"/>
              </w:rPr>
              <w:t>Etki, SoD, onay, eğitim, erişim, iletişim ve etkinlik review.</w:t>
            </w:r>
          </w:p>
        </w:tc>
      </w:tr>
    </w:tbl>
    <w:p>
      <w:pPr>
        <w:spacing w:after="40"/>
        <w:widowControl w:val="1"/>
      </w:pPr>
    </w:p>
    <w:p>
      <w:pPr>
        <w:spacing w:after="120"/>
        <w:widowControl w:val="1"/>
      </w:pPr>
      <w:r>
        <w:rPr>
          <w:rFonts w:ascii="Arial" w:hAnsi="Arial" w:eastAsia="Arial"/>
          <w:color w:val="142536"/>
          <w:sz w:val="21"/>
        </w:rPr>
        <w:t>Kodlar, MAPA-CDD-001’deki [Fonksiyon]-[Doküman Tipi]-[Sıra]-[Revizyon] yapısına göre Master Document List’te kesinleştirilir; yukarıdaki kodlar kontrol edilen ilk kayıt setidir.</w:t>
      </w:r>
    </w:p>
    <w:p>
      <w:pPr>
        <w:pStyle w:val="Heading1"/>
        <w:keepNext/>
        <w:pageBreakBefore w:val="0"/>
        <w:widowControl w:val="1"/>
      </w:pPr>
      <w:r>
        <w:rPr>
          <w:rFonts w:ascii="Arial" w:hAnsi="Arial" w:eastAsia="Arial"/>
          <w:b/>
          <w:color w:val="197B96"/>
          <w:sz w:val="34"/>
        </w:rPr>
        <w:t>17. Uygulama, kabul ve etkinlik kanıtı</w:t>
      </w:r>
    </w:p>
    <w:p>
      <w:pPr>
        <w:pStyle w:val="Heading2"/>
        <w:keepNext/>
        <w:widowControl w:val="1"/>
      </w:pPr>
      <w:r>
        <w:rPr>
          <w:rFonts w:ascii="Arial" w:hAnsi="Arial" w:eastAsia="Arial"/>
          <w:b/>
          <w:color w:val="183A59"/>
          <w:sz w:val="25"/>
        </w:rPr>
        <w:t>17.1 Devreye alma sırası</w:t>
      </w:r>
    </w:p>
    <w:p>
      <w:pPr>
        <w:spacing w:after="80" w:line="280" w:lineRule="auto"/>
        <w:ind w:left="720" w:hanging="360"/>
        <w:numPr>
          <w:ilvl w:val="0"/>
          <w:numId w:val="17"/>
        </w:numPr>
        <w:widowControl w:val="1"/>
      </w:pPr>
      <w:r>
        <w:rPr>
          <w:rFonts w:ascii="Arial" w:hAnsi="Arial" w:eastAsia="Arial"/>
          <w:color w:val="142536"/>
          <w:sz w:val="21"/>
        </w:rPr>
        <w:t>Genel Müdür MAPA-CDD-002’yi, organizasyon ilkelerini ve devredilemeyen yetkileri onaylar.</w:t>
      </w:r>
    </w:p>
    <w:p>
      <w:pPr>
        <w:spacing w:after="80" w:line="280" w:lineRule="auto"/>
        <w:ind w:left="720" w:hanging="360"/>
        <w:numPr>
          <w:ilvl w:val="0"/>
          <w:numId w:val="17"/>
        </w:numPr>
        <w:widowControl w:val="1"/>
      </w:pPr>
      <w:r>
        <w:rPr>
          <w:rFonts w:ascii="Arial" w:hAnsi="Arial" w:eastAsia="Arial"/>
          <w:color w:val="142536"/>
          <w:sz w:val="21"/>
        </w:rPr>
        <w:t>Organization &amp; Role Master ile hedef organizasyon şeması yayınlanır; mevcut/boş/geçici roller işaretlenir.</w:t>
      </w:r>
    </w:p>
    <w:p>
      <w:pPr>
        <w:spacing w:after="80" w:line="280" w:lineRule="auto"/>
        <w:ind w:left="720" w:hanging="360"/>
        <w:numPr>
          <w:ilvl w:val="0"/>
          <w:numId w:val="17"/>
        </w:numPr>
        <w:widowControl w:val="1"/>
      </w:pPr>
      <w:r>
        <w:rPr>
          <w:rFonts w:ascii="Arial" w:hAnsi="Arial" w:eastAsia="Arial"/>
          <w:color w:val="142536"/>
          <w:sz w:val="21"/>
        </w:rPr>
        <w:t>Fonksiyon ve uçtan uca süreç sahipleri atanır; görev tanımları, RACI, DoA ve vekâlet matrisi tamamlanır.</w:t>
      </w:r>
    </w:p>
    <w:p>
      <w:pPr>
        <w:spacing w:after="80" w:line="280" w:lineRule="auto"/>
        <w:ind w:left="720" w:hanging="360"/>
        <w:numPr>
          <w:ilvl w:val="0"/>
          <w:numId w:val="17"/>
        </w:numPr>
        <w:widowControl w:val="1"/>
      </w:pPr>
      <w:r>
        <w:rPr>
          <w:rFonts w:ascii="Arial" w:hAnsi="Arial" w:eastAsia="Arial"/>
          <w:color w:val="142536"/>
          <w:sz w:val="21"/>
        </w:rPr>
        <w:t>SoD ve kapasite gap analizi yapılır; yasak birleşimler kaldırılır, geçici kontroller kayıt altına alınır.</w:t>
      </w:r>
    </w:p>
    <w:p>
      <w:pPr>
        <w:spacing w:after="80" w:line="280" w:lineRule="auto"/>
        <w:ind w:left="720" w:hanging="360"/>
        <w:numPr>
          <w:ilvl w:val="0"/>
          <w:numId w:val="17"/>
        </w:numPr>
        <w:widowControl w:val="1"/>
      </w:pPr>
      <w:r>
        <w:rPr>
          <w:rFonts w:ascii="Arial" w:hAnsi="Arial" w:eastAsia="Arial"/>
          <w:color w:val="142536"/>
          <w:sz w:val="21"/>
        </w:rPr>
        <w:t>Rol bazlı eğitim, yetkinlik değerlendirmesi, imza ve sistem erişimleri aktive edilir.</w:t>
      </w:r>
    </w:p>
    <w:p>
      <w:pPr>
        <w:spacing w:after="80" w:line="280" w:lineRule="auto"/>
        <w:ind w:left="720" w:hanging="360"/>
        <w:numPr>
          <w:ilvl w:val="0"/>
          <w:numId w:val="17"/>
        </w:numPr>
        <w:widowControl w:val="1"/>
      </w:pPr>
      <w:r>
        <w:rPr>
          <w:rFonts w:ascii="Arial" w:hAnsi="Arial" w:eastAsia="Arial"/>
          <w:color w:val="142536"/>
          <w:sz w:val="21"/>
        </w:rPr>
        <w:t>Yönetim ritmi ve eskalasyon kanalları başlatılır; açık risk, HOLD, CAPA ve MOC devirleri tamamlanır.</w:t>
      </w:r>
    </w:p>
    <w:p>
      <w:pPr>
        <w:spacing w:after="80" w:line="280" w:lineRule="auto"/>
        <w:ind w:left="720" w:hanging="360"/>
        <w:numPr>
          <w:ilvl w:val="0"/>
          <w:numId w:val="17"/>
        </w:numPr>
        <w:widowControl w:val="1"/>
      </w:pPr>
      <w:r>
        <w:rPr>
          <w:rFonts w:ascii="Arial" w:hAnsi="Arial" w:eastAsia="Arial"/>
          <w:color w:val="142536"/>
          <w:sz w:val="21"/>
        </w:rPr>
        <w:t>30/60/90 günlük etkinlik review’larında karar gecikmesi, bypass, backlog ve arayüz hataları izlenir.</w:t>
      </w:r>
    </w:p>
    <w:p>
      <w:pPr>
        <w:spacing w:after="80" w:line="280" w:lineRule="auto"/>
        <w:ind w:left="720" w:hanging="360"/>
        <w:numPr>
          <w:ilvl w:val="0"/>
          <w:numId w:val="17"/>
        </w:numPr>
        <w:widowControl w:val="1"/>
      </w:pPr>
      <w:r>
        <w:rPr>
          <w:rFonts w:ascii="Arial" w:hAnsi="Arial" w:eastAsia="Arial"/>
          <w:color w:val="142536"/>
          <w:sz w:val="21"/>
        </w:rPr>
        <w:t>YGG; organizasyonun yeterlilik ve etkinliğini değerlendirir, kaynak/ayrıştırma kararlarını verir.</w:t>
      </w:r>
    </w:p>
    <w:p>
      <w:pPr>
        <w:pStyle w:val="Heading2"/>
        <w:keepNext/>
        <w:widowControl w:val="1"/>
      </w:pPr>
      <w:r>
        <w:rPr>
          <w:rFonts w:ascii="Arial" w:hAnsi="Arial" w:eastAsia="Arial"/>
          <w:b/>
          <w:color w:val="183A59"/>
          <w:sz w:val="25"/>
        </w:rPr>
        <w:t>17.2 Kabul kriterleri</w:t>
      </w:r>
    </w:p>
    <w:tbl>
      <w:tblPr>
        <w:tblStyle w:val="TableGrid"/>
        <w:tblW w:type="dxa" w:w="963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4300"/>
        <w:gridCol w:w="3230"/>
      </w:tblGrid>
      <w:tr>
        <w:trPr>
          <w:tblHeader w:val="true"/>
          <w:cantSplit w:val="1"/>
        </w:trPr>
        <w:tc>
          <w:tcPr>
            <w:tcW w:type="dxa" w:w="210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Kabul alanı</w:t>
            </w:r>
          </w:p>
        </w:tc>
        <w:tc>
          <w:tcPr>
            <w:tcW w:type="dxa" w:w="430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Asgari kriter</w:t>
            </w:r>
          </w:p>
        </w:tc>
        <w:tc>
          <w:tcPr>
            <w:tcW w:type="dxa" w:w="323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Objektif kanıt</w:t>
            </w:r>
          </w:p>
        </w:tc>
      </w:tr>
      <w:tr>
        <w:trPr>
          <w:cantSplit w:val="1"/>
        </w:trPr>
        <w:tc>
          <w:tcPr>
            <w:tcW w:type="dxa" w:w="21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Sahiplik</w:t>
            </w:r>
          </w:p>
        </w:tc>
        <w:tc>
          <w:tcPr>
            <w:tcW w:type="dxa" w:w="43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Tüm ana süreçlerde tek A ve atanmış vekil.</w:t>
            </w:r>
          </w:p>
        </w:tc>
        <w:tc>
          <w:tcPr>
            <w:tcW w:type="dxa" w:w="323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Role Master, RACI, görev tanımı.</w:t>
            </w:r>
          </w:p>
        </w:tc>
      </w:tr>
      <w:tr>
        <w:trPr>
          <w:cantSplit w:val="1"/>
        </w:trPr>
        <w:tc>
          <w:tcPr>
            <w:tcW w:type="dxa" w:w="21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Bağımsızlık</w:t>
            </w:r>
          </w:p>
        </w:tc>
        <w:tc>
          <w:tcPr>
            <w:tcW w:type="dxa" w:w="43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QA/release/HSE/audit hatları korunmuş; yasak birleşim yok.</w:t>
            </w:r>
          </w:p>
        </w:tc>
        <w:tc>
          <w:tcPr>
            <w:tcW w:type="dxa" w:w="323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Org chart, SoD review, erişim ve imza yetkisi.</w:t>
            </w:r>
          </w:p>
        </w:tc>
      </w:tr>
      <w:tr>
        <w:trPr>
          <w:cantSplit w:val="1"/>
        </w:trPr>
        <w:tc>
          <w:tcPr>
            <w:tcW w:type="dxa" w:w="21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Karar hakkı</w:t>
            </w:r>
          </w:p>
        </w:tc>
        <w:tc>
          <w:tcPr>
            <w:tcW w:type="dxa" w:w="43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D1–D4 ve kritik veto/stop/HOLD limitleri anlaşılmış.</w:t>
            </w:r>
          </w:p>
        </w:tc>
        <w:tc>
          <w:tcPr>
            <w:tcW w:type="dxa" w:w="323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DoA, briefing kaydı, örnek karar logları.</w:t>
            </w:r>
          </w:p>
        </w:tc>
      </w:tr>
      <w:tr>
        <w:trPr>
          <w:cantSplit w:val="1"/>
        </w:trPr>
        <w:tc>
          <w:tcPr>
            <w:tcW w:type="dxa" w:w="21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Yetkinlik</w:t>
            </w:r>
          </w:p>
        </w:tc>
        <w:tc>
          <w:tcPr>
            <w:tcW w:type="dxa" w:w="43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Kritik roller değerlendirilmiş ve yazılı yetkilendirilmiş.</w:t>
            </w:r>
          </w:p>
        </w:tc>
        <w:tc>
          <w:tcPr>
            <w:tcW w:type="dxa" w:w="323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Competence matrix, assessment, authorization.</w:t>
            </w:r>
          </w:p>
        </w:tc>
      </w:tr>
      <w:tr>
        <w:trPr>
          <w:cantSplit w:val="1"/>
        </w:trPr>
        <w:tc>
          <w:tcPr>
            <w:tcW w:type="dxa" w:w="21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Vekâlet</w:t>
            </w:r>
          </w:p>
        </w:tc>
        <w:tc>
          <w:tcPr>
            <w:tcW w:type="dxa" w:w="43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Kritik yokluk senaryoları test edilmiş.</w:t>
            </w:r>
          </w:p>
        </w:tc>
        <w:tc>
          <w:tcPr>
            <w:tcW w:type="dxa" w:w="323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Deputization matrix ve devir tatbikatı.</w:t>
            </w:r>
          </w:p>
        </w:tc>
      </w:tr>
      <w:tr>
        <w:trPr>
          <w:cantSplit w:val="1"/>
        </w:trPr>
        <w:tc>
          <w:tcPr>
            <w:tcW w:type="dxa" w:w="21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Ritim</w:t>
            </w:r>
          </w:p>
        </w:tc>
        <w:tc>
          <w:tcPr>
            <w:tcW w:type="dxa" w:w="43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Toplantı, eskalasyon ve aksiyon kapanışı en az iki çevrim işletilmiş.</w:t>
            </w:r>
          </w:p>
        </w:tc>
        <w:tc>
          <w:tcPr>
            <w:tcW w:type="dxa" w:w="323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Tutanak, karar/aksiyon logu, KPI trendi.</w:t>
            </w:r>
          </w:p>
        </w:tc>
      </w:tr>
      <w:tr>
        <w:trPr>
          <w:cantSplit w:val="1"/>
        </w:trPr>
        <w:tc>
          <w:tcPr>
            <w:tcW w:type="dxa" w:w="21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Etkinlik</w:t>
            </w:r>
          </w:p>
        </w:tc>
        <w:tc>
          <w:tcPr>
            <w:tcW w:type="dxa" w:w="43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Bypass, gecikme ve sahiplik boşlukları risk seviyesine indirilmiş.</w:t>
            </w:r>
          </w:p>
        </w:tc>
        <w:tc>
          <w:tcPr>
            <w:tcW w:type="dxa" w:w="323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30/60/90 gün review ve YGG kararı.</w:t>
            </w:r>
          </w:p>
        </w:tc>
      </w:tr>
    </w:tbl>
    <w:p>
      <w:pPr>
        <w:spacing w:after="40"/>
        <w:widowControl w:val="1"/>
      </w:pPr>
    </w:p>
    <w:tbl>
      <w:tblPr>
        <w:tblW w:type="dxa" w:w="957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570"/>
      </w:tblGrid>
      <w:tr>
        <w:trPr>
          <w:cantSplit w:val="1"/>
        </w:trPr>
        <w:tc>
          <w:tcPr>
            <w:tcW w:type="dxa" w:w="9570"/>
            <w:shd w:fill="E8F5F7"/>
            <w:tcBorders>
              <w:top w:val="single" w:sz="5" w:space="0" w:color="C7D7E2"/>
              <w:left w:val="single" w:sz="5" w:space="0" w:color="C7D7E2"/>
              <w:bottom w:val="single" w:sz="5" w:space="0" w:color="C7D7E2"/>
              <w:right w:val="single" w:sz="5" w:space="0" w:color="C7D7E2"/>
              <w:insideH w:val="single" w:sz="5" w:space="0" w:color="C7D7E2"/>
              <w:insideV w:val="single" w:sz="5" w:space="0" w:color="C7D7E2"/>
            </w:tcBorders>
            <w:vAlign w:val="center"/>
            <w:tcMar>
              <w:top w:w="125" w:type="dxa"/>
              <w:bottom w:w="125" w:type="dxa"/>
              <w:start w:w="180" w:type="dxa"/>
              <w:end w:w="18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 w:eastAsia="Arial"/>
                <w:b/>
                <w:color w:val="197B96"/>
                <w:sz w:val="21"/>
              </w:rPr>
              <w:t>Tamamlanma tanımı</w:t>
            </w:r>
          </w:p>
          <w:p>
            <w:pPr>
              <w:spacing w:after="0" w:line="269" w:lineRule="auto"/>
            </w:pPr>
            <w:r>
              <w:rPr>
                <w:rFonts w:ascii="Arial" w:hAnsi="Arial" w:eastAsia="Arial"/>
                <w:color w:val="142536"/>
                <w:sz w:val="21"/>
              </w:rPr>
              <w:t>MAPA-CDD-002 yalnız onaylandığında değil; roller atanmış, yetkiler doğrulanmış, yasak birleşimler kaldırılmış, vekâlet test edilmiş ve yönetim ritmi objektif kanıtla işletilmiş olduğunda etkin kabul edilir.</w:t>
            </w:r>
          </w:p>
        </w:tc>
      </w:tr>
    </w:tbl>
    <w:p>
      <w:pPr>
        <w:spacing w:after="20"/>
        <w:widowControl w:val="1"/>
      </w:pPr>
    </w:p>
    <w:p>
      <w:pPr>
        <w:pStyle w:val="Heading1"/>
        <w:keepNext/>
        <w:pageBreakBefore/>
        <w:widowControl w:val="1"/>
      </w:pPr>
      <w:r>
        <w:rPr>
          <w:rFonts w:ascii="Arial" w:hAnsi="Arial" w:eastAsia="Arial"/>
          <w:b/>
          <w:color w:val="197B96"/>
          <w:sz w:val="34"/>
        </w:rPr>
        <w:t>Ek A. Rol ve fonksiyon kod kataloğu</w:t>
      </w:r>
    </w:p>
    <w:tbl>
      <w:tblPr>
        <w:tblStyle w:val="TableGrid"/>
        <w:tblW w:type="dxa" w:w="963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00"/>
        <w:gridCol w:w="3350"/>
        <w:gridCol w:w="5280"/>
      </w:tblGrid>
      <w:tr>
        <w:trPr>
          <w:tblHeader w:val="true"/>
          <w:cantSplit w:val="1"/>
        </w:trPr>
        <w:tc>
          <w:tcPr>
            <w:tcW w:type="dxa" w:w="100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Kod</w:t>
            </w:r>
          </w:p>
        </w:tc>
        <w:tc>
          <w:tcPr>
            <w:tcW w:type="dxa" w:w="335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Fonksiyon / rol ailesi</w:t>
            </w:r>
          </w:p>
        </w:tc>
        <w:tc>
          <w:tcPr>
            <w:tcW w:type="dxa" w:w="528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Kullanım notu</w:t>
            </w:r>
          </w:p>
        </w:tc>
      </w:tr>
      <w:tr>
        <w:trPr>
          <w:cantSplit w:val="1"/>
        </w:trPr>
        <w:tc>
          <w:tcPr>
            <w:tcW w:type="dxa" w:w="10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COR</w:t>
            </w:r>
          </w:p>
        </w:tc>
        <w:tc>
          <w:tcPr>
            <w:tcW w:type="dxa" w:w="33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Corporate Governance / Genel Yönetim</w:t>
            </w:r>
          </w:p>
        </w:tc>
        <w:tc>
          <w:tcPr>
            <w:tcW w:type="dxa" w:w="528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CDD, strateji, YGG, kurumsal kararlar.</w:t>
            </w:r>
          </w:p>
        </w:tc>
      </w:tr>
      <w:tr>
        <w:trPr>
          <w:cantSplit w:val="1"/>
        </w:trPr>
        <w:tc>
          <w:tcPr>
            <w:tcW w:type="dxa" w:w="10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OPS</w:t>
            </w:r>
          </w:p>
        </w:tc>
        <w:tc>
          <w:tcPr>
            <w:tcW w:type="dxa" w:w="33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Factory Operations</w:t>
            </w:r>
          </w:p>
        </w:tc>
        <w:tc>
          <w:tcPr>
            <w:tcW w:type="dxa" w:w="528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Fabrika koordinasyonu ve SQDCP+E.</w:t>
            </w:r>
          </w:p>
        </w:tc>
      </w:tr>
      <w:tr>
        <w:trPr>
          <w:cantSplit w:val="1"/>
        </w:trPr>
        <w:tc>
          <w:tcPr>
            <w:tcW w:type="dxa" w:w="10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QMS</w:t>
            </w:r>
          </w:p>
        </w:tc>
        <w:tc>
          <w:tcPr>
            <w:tcW w:type="dxa" w:w="33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QA / IMS</w:t>
            </w:r>
          </w:p>
        </w:tc>
        <w:tc>
          <w:tcPr>
            <w:tcW w:type="dxa" w:w="528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Yönetim sistemi, audit, NCR/CAPA/MOC, doküman ve release governance.</w:t>
            </w:r>
          </w:p>
        </w:tc>
      </w:tr>
      <w:tr>
        <w:trPr>
          <w:cantSplit w:val="1"/>
        </w:trPr>
        <w:tc>
          <w:tcPr>
            <w:tcW w:type="dxa" w:w="10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QCL</w:t>
            </w:r>
          </w:p>
        </w:tc>
        <w:tc>
          <w:tcPr>
            <w:tcW w:type="dxa" w:w="33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QC &amp; Laboratory</w:t>
            </w:r>
          </w:p>
        </w:tc>
        <w:tc>
          <w:tcPr>
            <w:tcW w:type="dxa" w:w="528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Numune, test/muayene, metot/NDT, OOS/NCR, ham veri ve CoA/uygunluk dosyası girdisi.</w:t>
            </w:r>
          </w:p>
        </w:tc>
      </w:tr>
      <w:tr>
        <w:trPr>
          <w:cantSplit w:val="1"/>
        </w:trPr>
        <w:tc>
          <w:tcPr>
            <w:tcW w:type="dxa" w:w="10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RDT</w:t>
            </w:r>
          </w:p>
        </w:tc>
        <w:tc>
          <w:tcPr>
            <w:tcW w:type="dxa" w:w="33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R&amp;D / Product, Formwork &amp; Process Technology</w:t>
            </w:r>
          </w:p>
        </w:tc>
        <w:tc>
          <w:tcPr>
            <w:tcW w:type="dxa" w:w="528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Ürün, reçete veya kalıp tasarımı/teknik resim-BOM-WPS, validasyon, teknik dosya ve değişiklik.</w:t>
            </w:r>
          </w:p>
        </w:tc>
      </w:tr>
      <w:tr>
        <w:trPr>
          <w:cantSplit w:val="1"/>
        </w:trPr>
        <w:tc>
          <w:tcPr>
            <w:tcW w:type="dxa" w:w="10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PRD</w:t>
            </w:r>
          </w:p>
        </w:tc>
        <w:tc>
          <w:tcPr>
            <w:tcW w:type="dxa" w:w="33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Production</w:t>
            </w:r>
          </w:p>
        </w:tc>
        <w:tc>
          <w:tcPr>
            <w:tcW w:type="dxa" w:w="528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Batch üretim veya kalıp imalatı, IPC/ITP, temizlik ve vardiya.</w:t>
            </w:r>
          </w:p>
        </w:tc>
      </w:tr>
      <w:tr>
        <w:trPr>
          <w:cantSplit w:val="1"/>
        </w:trPr>
        <w:tc>
          <w:tcPr>
            <w:tcW w:type="dxa" w:w="10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SCM</w:t>
            </w:r>
          </w:p>
        </w:tc>
        <w:tc>
          <w:tcPr>
            <w:tcW w:type="dxa" w:w="33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Supply Chain &amp; Purchasing</w:t>
            </w:r>
          </w:p>
        </w:tc>
        <w:tc>
          <w:tcPr>
            <w:tcW w:type="dxa" w:w="528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Plan, tedarikçi, satınalma ve süreklilik.</w:t>
            </w:r>
          </w:p>
        </w:tc>
      </w:tr>
      <w:tr>
        <w:trPr>
          <w:cantSplit w:val="1"/>
        </w:trPr>
        <w:tc>
          <w:tcPr>
            <w:tcW w:type="dxa" w:w="10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WHL</w:t>
            </w:r>
          </w:p>
        </w:tc>
        <w:tc>
          <w:tcPr>
            <w:tcW w:type="dxa" w:w="33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Warehouse &amp; Logistics</w:t>
            </w:r>
          </w:p>
        </w:tc>
        <w:tc>
          <w:tcPr>
            <w:tcW w:type="dxa" w:w="528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Kabul, statü, stok, issue ve sevkiyat.</w:t>
            </w:r>
          </w:p>
        </w:tc>
      </w:tr>
      <w:tr>
        <w:trPr>
          <w:cantSplit w:val="1"/>
        </w:trPr>
        <w:tc>
          <w:tcPr>
            <w:tcW w:type="dxa" w:w="10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MNT</w:t>
            </w:r>
          </w:p>
        </w:tc>
        <w:tc>
          <w:tcPr>
            <w:tcW w:type="dxa" w:w="33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Maintenance &amp; Utilities</w:t>
            </w:r>
          </w:p>
        </w:tc>
        <w:tc>
          <w:tcPr>
            <w:tcW w:type="dxa" w:w="528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Bakım, utility, kalibrasyon koordinasyonu ve varlık güvenilirliği.</w:t>
            </w:r>
          </w:p>
        </w:tc>
      </w:tr>
      <w:tr>
        <w:trPr>
          <w:cantSplit w:val="1"/>
        </w:trPr>
        <w:tc>
          <w:tcPr>
            <w:tcW w:type="dxa" w:w="10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HSE</w:t>
            </w:r>
          </w:p>
        </w:tc>
        <w:tc>
          <w:tcPr>
            <w:tcW w:type="dxa" w:w="33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Health, Safety &amp; Environment</w:t>
            </w:r>
          </w:p>
        </w:tc>
        <w:tc>
          <w:tcPr>
            <w:tcW w:type="dxa" w:w="528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Risk, olay, çevre, acil durum ve stop-work.</w:t>
            </w:r>
          </w:p>
        </w:tc>
      </w:tr>
      <w:tr>
        <w:trPr>
          <w:cantSplit w:val="1"/>
        </w:trPr>
        <w:tc>
          <w:tcPr>
            <w:tcW w:type="dxa" w:w="10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COM</w:t>
            </w:r>
          </w:p>
        </w:tc>
        <w:tc>
          <w:tcPr>
            <w:tcW w:type="dxa" w:w="33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Commercial &amp; Technical Service</w:t>
            </w:r>
          </w:p>
        </w:tc>
        <w:tc>
          <w:tcPr>
            <w:tcW w:type="dxa" w:w="528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Sözleşme, müşteri, satış, saha desteği ve şikâyet girdisi.</w:t>
            </w:r>
          </w:p>
        </w:tc>
      </w:tr>
      <w:tr>
        <w:trPr>
          <w:cantSplit w:val="1"/>
        </w:trPr>
        <w:tc>
          <w:tcPr>
            <w:tcW w:type="dxa" w:w="10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ADM</w:t>
            </w:r>
          </w:p>
        </w:tc>
        <w:tc>
          <w:tcPr>
            <w:tcW w:type="dxa" w:w="33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Finance / HR / Admin / IT Shared Services</w:t>
            </w:r>
          </w:p>
        </w:tc>
        <w:tc>
          <w:tcPr>
            <w:tcW w:type="dxa" w:w="528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Paylaşılan kurumsal destek ve erişim/hizmet kontrolleri.</w:t>
            </w:r>
          </w:p>
        </w:tc>
      </w:tr>
    </w:tbl>
    <w:p>
      <w:pPr>
        <w:spacing w:after="40"/>
        <w:widowControl w:val="1"/>
      </w:pPr>
    </w:p>
    <w:p>
      <w:pPr>
        <w:spacing w:after="120"/>
        <w:widowControl w:val="1"/>
      </w:pPr>
      <w:r>
        <w:rPr>
          <w:rFonts w:ascii="Arial" w:hAnsi="Arial" w:eastAsia="Arial"/>
          <w:color w:val="142536"/>
          <w:sz w:val="21"/>
        </w:rPr>
        <w:t>Fonksiyon kodları Master Document List ve Organization &amp; Role Master onayıyla yürürlüğe girer. Kod, kişinin unvanını değil süreç sahipliği ve kontrollü bilgi bağlamını gösterir.</w:t>
      </w:r>
    </w:p>
    <w:p>
      <w:pPr>
        <w:pStyle w:val="Heading1"/>
        <w:keepNext/>
        <w:pageBreakBefore w:val="0"/>
        <w:widowControl w:val="1"/>
      </w:pPr>
      <w:r>
        <w:rPr>
          <w:rFonts w:ascii="Arial" w:hAnsi="Arial" w:eastAsia="Arial"/>
          <w:b/>
          <w:color w:val="197B96"/>
          <w:sz w:val="34"/>
        </w:rPr>
        <w:t>Ek B. RACI, DoA ve karar sembolleri</w:t>
      </w:r>
    </w:p>
    <w:tbl>
      <w:tblPr>
        <w:tblStyle w:val="TableGrid"/>
        <w:tblW w:type="dxa" w:w="963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50"/>
        <w:gridCol w:w="2650"/>
        <w:gridCol w:w="5830"/>
      </w:tblGrid>
      <w:tr>
        <w:trPr>
          <w:tblHeader w:val="true"/>
          <w:cantSplit w:val="1"/>
        </w:trPr>
        <w:tc>
          <w:tcPr>
            <w:tcW w:type="dxa" w:w="115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Sembol</w:t>
            </w:r>
          </w:p>
        </w:tc>
        <w:tc>
          <w:tcPr>
            <w:tcW w:type="dxa" w:w="265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Anlam</w:t>
            </w:r>
          </w:p>
        </w:tc>
        <w:tc>
          <w:tcPr>
            <w:tcW w:type="dxa" w:w="583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Kullanım kuralı</w:t>
            </w:r>
          </w:p>
        </w:tc>
      </w:tr>
      <w:tr>
        <w:trPr>
          <w:cantSplit w:val="1"/>
        </w:trPr>
        <w:tc>
          <w:tcPr>
            <w:tcW w:type="dxa" w:w="11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7"/>
              </w:rPr>
              <w:t>R</w:t>
            </w:r>
          </w:p>
        </w:tc>
        <w:tc>
          <w:tcPr>
            <w:tcW w:type="dxa" w:w="26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7"/>
              </w:rPr>
              <w:t>Responsible</w:t>
            </w:r>
          </w:p>
        </w:tc>
        <w:tc>
          <w:tcPr>
            <w:tcW w:type="dxa" w:w="583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7"/>
              </w:rPr>
              <w:t>İşi veya çıktıyı fiilen üretir; birden fazla olabilir.</w:t>
            </w:r>
          </w:p>
        </w:tc>
      </w:tr>
      <w:tr>
        <w:trPr>
          <w:cantSplit w:val="1"/>
        </w:trPr>
        <w:tc>
          <w:tcPr>
            <w:tcW w:type="dxa" w:w="11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7"/>
              </w:rPr>
              <w:t>A</w:t>
            </w:r>
          </w:p>
        </w:tc>
        <w:tc>
          <w:tcPr>
            <w:tcW w:type="dxa" w:w="26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7"/>
              </w:rPr>
              <w:t>Accountable</w:t>
            </w:r>
          </w:p>
        </w:tc>
        <w:tc>
          <w:tcPr>
            <w:tcW w:type="dxa" w:w="583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7"/>
              </w:rPr>
              <w:t>Nihai hesap veren ve sonucu kabul eden tek roldür.</w:t>
            </w:r>
          </w:p>
        </w:tc>
      </w:tr>
      <w:tr>
        <w:trPr>
          <w:cantSplit w:val="1"/>
        </w:trPr>
        <w:tc>
          <w:tcPr>
            <w:tcW w:type="dxa" w:w="11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7"/>
              </w:rPr>
              <w:t>C</w:t>
            </w:r>
          </w:p>
        </w:tc>
        <w:tc>
          <w:tcPr>
            <w:tcW w:type="dxa" w:w="26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7"/>
              </w:rPr>
              <w:t>Consulted</w:t>
            </w:r>
          </w:p>
        </w:tc>
        <w:tc>
          <w:tcPr>
            <w:tcW w:type="dxa" w:w="583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7"/>
              </w:rPr>
              <w:t>Karar verilmeden önce görüşü alınır; iki yönlü iletişimdir.</w:t>
            </w:r>
          </w:p>
        </w:tc>
      </w:tr>
      <w:tr>
        <w:trPr>
          <w:cantSplit w:val="1"/>
        </w:trPr>
        <w:tc>
          <w:tcPr>
            <w:tcW w:type="dxa" w:w="11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7"/>
              </w:rPr>
              <w:t>I</w:t>
            </w:r>
          </w:p>
        </w:tc>
        <w:tc>
          <w:tcPr>
            <w:tcW w:type="dxa" w:w="26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7"/>
              </w:rPr>
              <w:t>Informed</w:t>
            </w:r>
          </w:p>
        </w:tc>
        <w:tc>
          <w:tcPr>
            <w:tcW w:type="dxa" w:w="583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7"/>
              </w:rPr>
              <w:t>Karar/sonuçtan sonra bilgilendirilir; onay makamı değildir.</w:t>
            </w:r>
          </w:p>
        </w:tc>
      </w:tr>
      <w:tr>
        <w:trPr>
          <w:cantSplit w:val="1"/>
        </w:trPr>
        <w:tc>
          <w:tcPr>
            <w:tcW w:type="dxa" w:w="11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7"/>
              </w:rPr>
              <w:t>V</w:t>
            </w:r>
          </w:p>
        </w:tc>
        <w:tc>
          <w:tcPr>
            <w:tcW w:type="dxa" w:w="26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7"/>
              </w:rPr>
              <w:t>Veto / Stop / Hold</w:t>
            </w:r>
          </w:p>
        </w:tc>
        <w:tc>
          <w:tcPr>
            <w:tcW w:type="dxa" w:w="583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7"/>
              </w:rPr>
              <w:t>Bağımsız kalite, HSE, yasal veya veri riski nedeniyle ilerlemeyi durdurabilir.</w:t>
            </w:r>
          </w:p>
        </w:tc>
      </w:tr>
      <w:tr>
        <w:trPr>
          <w:cantSplit w:val="1"/>
        </w:trPr>
        <w:tc>
          <w:tcPr>
            <w:tcW w:type="dxa" w:w="11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7"/>
              </w:rPr>
              <w:t>D1</w:t>
            </w:r>
          </w:p>
        </w:tc>
        <w:tc>
          <w:tcPr>
            <w:tcW w:type="dxa" w:w="26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7"/>
              </w:rPr>
              <w:t>Routine authority</w:t>
            </w:r>
          </w:p>
        </w:tc>
        <w:tc>
          <w:tcPr>
            <w:tcW w:type="dxa" w:w="583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7"/>
              </w:rPr>
              <w:t>Onaylı standart ve limit içinde günlük karar.</w:t>
            </w:r>
          </w:p>
        </w:tc>
      </w:tr>
      <w:tr>
        <w:trPr>
          <w:cantSplit w:val="1"/>
        </w:trPr>
        <w:tc>
          <w:tcPr>
            <w:tcW w:type="dxa" w:w="11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7"/>
              </w:rPr>
              <w:t>D2</w:t>
            </w:r>
          </w:p>
        </w:tc>
        <w:tc>
          <w:tcPr>
            <w:tcW w:type="dxa" w:w="26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7"/>
              </w:rPr>
              <w:t>Cross-functional authority</w:t>
            </w:r>
          </w:p>
        </w:tc>
        <w:tc>
          <w:tcPr>
            <w:tcW w:type="dxa" w:w="583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7"/>
              </w:rPr>
              <w:t>Birden fazla fonksiyonu etkileyen taktik karar.</w:t>
            </w:r>
          </w:p>
        </w:tc>
      </w:tr>
      <w:tr>
        <w:trPr>
          <w:cantSplit w:val="1"/>
        </w:trPr>
        <w:tc>
          <w:tcPr>
            <w:tcW w:type="dxa" w:w="11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7"/>
              </w:rPr>
              <w:t>D3</w:t>
            </w:r>
          </w:p>
        </w:tc>
        <w:tc>
          <w:tcPr>
            <w:tcW w:type="dxa" w:w="265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7"/>
              </w:rPr>
              <w:t>Management risk authority</w:t>
            </w:r>
          </w:p>
        </w:tc>
        <w:tc>
          <w:tcPr>
            <w:tcW w:type="dxa" w:w="583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7"/>
              </w:rPr>
              <w:t>Yüksek risk, kaynak, politika veya organizasyon kararı.</w:t>
            </w:r>
          </w:p>
        </w:tc>
      </w:tr>
      <w:tr>
        <w:trPr>
          <w:cantSplit w:val="1"/>
        </w:trPr>
        <w:tc>
          <w:tcPr>
            <w:tcW w:type="dxa" w:w="11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7"/>
              </w:rPr>
              <w:t>D4</w:t>
            </w:r>
          </w:p>
        </w:tc>
        <w:tc>
          <w:tcPr>
            <w:tcW w:type="dxa" w:w="265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7"/>
              </w:rPr>
              <w:t>Crisis authority</w:t>
            </w:r>
          </w:p>
        </w:tc>
        <w:tc>
          <w:tcPr>
            <w:tcW w:type="dxa" w:w="583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7"/>
              </w:rPr>
              <w:t>Acil containment, can/çevre/ürün/iş sürekliliği kararı.</w:t>
            </w:r>
          </w:p>
        </w:tc>
      </w:tr>
    </w:tbl>
    <w:p>
      <w:pPr>
        <w:spacing w:after="40"/>
        <w:widowControl w:val="1"/>
      </w:pPr>
    </w:p>
    <w:p>
      <w:pPr>
        <w:pStyle w:val="Heading1"/>
        <w:keepNext/>
        <w:pageBreakBefore w:val="0"/>
        <w:widowControl w:val="1"/>
      </w:pPr>
      <w:r>
        <w:rPr>
          <w:rFonts w:ascii="Arial" w:hAnsi="Arial" w:eastAsia="Arial"/>
          <w:b/>
          <w:color w:val="197B96"/>
          <w:sz w:val="34"/>
        </w:rPr>
        <w:t>Ek C. Normatif ve iç referanslar</w:t>
      </w:r>
    </w:p>
    <w:tbl>
      <w:tblPr>
        <w:tblStyle w:val="TableGrid"/>
        <w:tblW w:type="dxa" w:w="963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00"/>
        <w:gridCol w:w="6530"/>
      </w:tblGrid>
      <w:tr>
        <w:trPr>
          <w:tblHeader w:val="true"/>
          <w:cantSplit w:val="1"/>
        </w:trPr>
        <w:tc>
          <w:tcPr>
            <w:tcW w:type="dxa" w:w="310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Referans</w:t>
            </w:r>
          </w:p>
        </w:tc>
        <w:tc>
          <w:tcPr>
            <w:tcW w:type="dxa" w:w="653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MAPA-CDD-002 ile ilişkisi</w:t>
            </w:r>
          </w:p>
        </w:tc>
      </w:tr>
      <w:tr>
        <w:trPr>
          <w:cantSplit w:val="1"/>
        </w:trPr>
        <w:tc>
          <w:tcPr>
            <w:tcW w:type="dxa" w:w="31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MAPA-CDD-001 Company Design Document, Rev. 0</w:t>
            </w:r>
          </w:p>
        </w:tc>
        <w:tc>
          <w:tcPr>
            <w:tcW w:type="dxa" w:w="653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Kurumsal kimlik, süreç modeli, yönetişim, IMS, kalite kapıları ve değişmez kurallar.</w:t>
            </w:r>
          </w:p>
        </w:tc>
      </w:tr>
      <w:tr>
        <w:trPr>
          <w:cantSplit w:val="1"/>
        </w:trPr>
        <w:tc>
          <w:tcPr>
            <w:tcW w:type="dxa" w:w="31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SARL MAPA IMS Master Project — Ana Plan</w:t>
            </w:r>
          </w:p>
        </w:tc>
        <w:tc>
          <w:tcPr>
            <w:tcW w:type="dxa" w:w="653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Faz kronolojisi, doküman mimarisi ve ISO Certification Package önceliği.</w:t>
            </w:r>
          </w:p>
        </w:tc>
      </w:tr>
      <w:tr>
        <w:trPr>
          <w:cantSplit w:val="1"/>
        </w:trPr>
        <w:tc>
          <w:tcPr>
            <w:tcW w:type="dxa" w:w="31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P4-WI-001 P4 System Operating Procedure</w:t>
            </w:r>
          </w:p>
        </w:tc>
        <w:tc>
          <w:tcPr>
            <w:tcW w:type="dxa" w:w="653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Tedarik zinciri, giriş kalite, depo, statü ve görev ayrılığı için uygulama girdisi.</w:t>
            </w:r>
          </w:p>
        </w:tc>
      </w:tr>
      <w:tr>
        <w:trPr>
          <w:cantSplit w:val="1"/>
        </w:trPr>
        <w:tc>
          <w:tcPr>
            <w:tcW w:type="dxa" w:w="31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ISO 9001:2015/Amd 1:2024</w:t>
            </w:r>
          </w:p>
        </w:tc>
        <w:tc>
          <w:tcPr>
            <w:tcW w:type="dxa" w:w="653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Organizasyonel roller, sorumluluk, yetki, liderlik, yetkinlik ve performans gereksinimleri.</w:t>
            </w:r>
          </w:p>
        </w:tc>
      </w:tr>
      <w:tr>
        <w:trPr>
          <w:cantSplit w:val="1"/>
        </w:trPr>
        <w:tc>
          <w:tcPr>
            <w:tcW w:type="dxa" w:w="31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ISO 14001:2026</w:t>
            </w:r>
          </w:p>
        </w:tc>
        <w:tc>
          <w:tcPr>
            <w:tcW w:type="dxa" w:w="653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Çevre rolleri, uygunluk, sorumluluk ve çevresel performans.</w:t>
            </w:r>
          </w:p>
        </w:tc>
      </w:tr>
      <w:tr>
        <w:trPr>
          <w:cantSplit w:val="1"/>
        </w:trPr>
        <w:tc>
          <w:tcPr>
            <w:tcW w:type="dxa" w:w="31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ISO 45001:2018/Amd 1:2024</w:t>
            </w:r>
          </w:p>
        </w:tc>
        <w:tc>
          <w:tcPr>
            <w:tcW w:type="dxa" w:w="653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İSG rolleri, çalışan katılımı, stop-work ve liderlik.</w:t>
            </w:r>
          </w:p>
        </w:tc>
      </w:tr>
      <w:tr>
        <w:trPr>
          <w:cantSplit w:val="1"/>
        </w:trPr>
        <w:tc>
          <w:tcPr>
            <w:tcW w:type="dxa" w:w="31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ISO/IEC 17025:2017</w:t>
            </w:r>
          </w:p>
        </w:tc>
        <w:tc>
          <w:tcPr>
            <w:tcW w:type="dxa" w:w="653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Laboratuvar tarafsızlığı, yetkinlik, metot ve sonuç geçerliliği.</w:t>
            </w:r>
          </w:p>
        </w:tc>
      </w:tr>
      <w:tr>
        <w:trPr>
          <w:cantSplit w:val="1"/>
        </w:trPr>
        <w:tc>
          <w:tcPr>
            <w:tcW w:type="dxa" w:w="31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ISO 19011:2026</w:t>
            </w:r>
          </w:p>
        </w:tc>
        <w:tc>
          <w:tcPr>
            <w:tcW w:type="dxa" w:w="653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İç tetkik programı, tetkikçi yetkinliği ve bağımsızlık.</w:t>
            </w:r>
          </w:p>
        </w:tc>
      </w:tr>
      <w:tr>
        <w:trPr>
          <w:cantSplit w:val="1"/>
        </w:trPr>
        <w:tc>
          <w:tcPr>
            <w:tcW w:type="dxa" w:w="31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ISO 31000:2018</w:t>
            </w:r>
          </w:p>
        </w:tc>
        <w:tc>
          <w:tcPr>
            <w:tcW w:type="dxa" w:w="653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Risk bazlı organizasyon ve karar tasarımı.</w:t>
            </w:r>
          </w:p>
        </w:tc>
      </w:tr>
    </w:tbl>
    <w:p>
      <w:pPr>
        <w:spacing w:after="40"/>
        <w:widowControl w:val="1"/>
      </w:pPr>
    </w:p>
    <w:p>
      <w:pPr>
        <w:spacing w:after="120"/>
        <w:widowControl w:val="1"/>
      </w:pPr>
      <w:r>
        <w:rPr>
          <w:rFonts w:ascii="Arial" w:hAnsi="Arial" w:eastAsia="Arial"/>
          <w:color w:val="142536"/>
          <w:sz w:val="21"/>
        </w:rPr>
        <w:t>Uygulanabilir Cezayir mevzuatı, müşteri/kontrat şartları, ürün teknik standardları, kimyasal güvenlik, çevre, iş sağlığı-güvenliği, atık ve taşıma yükümlülükleri Yasal ve Diğer Şartlar Register’ında güncel tutulur.</w:t>
      </w:r>
    </w:p>
    <w:p>
      <w:pPr>
        <w:pStyle w:val="Heading1"/>
        <w:keepNext/>
        <w:pageBreakBefore w:val="0"/>
        <w:widowControl w:val="1"/>
      </w:pPr>
      <w:r>
        <w:rPr>
          <w:rFonts w:ascii="Arial" w:hAnsi="Arial" w:eastAsia="Arial"/>
          <w:b/>
          <w:color w:val="197B96"/>
          <w:sz w:val="34"/>
        </w:rPr>
        <w:t>Ek D. Yayın öncesi uygunluk kontrolü</w:t>
      </w:r>
    </w:p>
    <w:tbl>
      <w:tblPr>
        <w:tblStyle w:val="TableGrid"/>
        <w:tblW w:type="dxa" w:w="963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5200"/>
        <w:gridCol w:w="2330"/>
      </w:tblGrid>
      <w:tr>
        <w:trPr>
          <w:tblHeader w:val="true"/>
          <w:cantSplit w:val="1"/>
        </w:trPr>
        <w:tc>
          <w:tcPr>
            <w:tcW w:type="dxa" w:w="210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Kontrol alanı</w:t>
            </w:r>
          </w:p>
        </w:tc>
        <w:tc>
          <w:tcPr>
            <w:tcW w:type="dxa" w:w="520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Kabul kriteri</w:t>
            </w:r>
          </w:p>
        </w:tc>
        <w:tc>
          <w:tcPr>
            <w:tcW w:type="dxa" w:w="2330"/>
            <w:shd w:fill="183A59"/>
            <w:tcBorders>
              <w:top w:val="single" w:sz="6" w:space="0" w:color="0E253B"/>
              <w:left w:val="single" w:sz="6" w:space="0" w:color="0E253B"/>
              <w:bottom w:val="single" w:sz="6" w:space="0" w:color="0E253B"/>
              <w:right w:val="single" w:sz="6" w:space="0" w:color="0E253B"/>
              <w:insideH w:val="single" w:sz="6" w:space="0" w:color="0E253B"/>
              <w:insideV w:val="single" w:sz="6" w:space="0" w:color="0E253B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Sonuç / kanıt</w:t>
            </w:r>
          </w:p>
        </w:tc>
      </w:tr>
      <w:tr>
        <w:trPr>
          <w:cantSplit w:val="1"/>
        </w:trPr>
        <w:tc>
          <w:tcPr>
            <w:tcW w:type="dxa" w:w="21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Belge kimliği</w:t>
            </w:r>
          </w:p>
        </w:tc>
        <w:tc>
          <w:tcPr>
            <w:tcW w:type="dxa" w:w="52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Kod, başlık, revizyon, tarih ve sayfa kontrolü tamam</w:t>
            </w:r>
          </w:p>
        </w:tc>
        <w:tc>
          <w:tcPr>
            <w:tcW w:type="dxa" w:w="233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</w:r>
          </w:p>
        </w:tc>
      </w:tr>
      <w:tr>
        <w:trPr>
          <w:cantSplit w:val="1"/>
        </w:trPr>
        <w:tc>
          <w:tcPr>
            <w:tcW w:type="dxa" w:w="21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MAPA-CDD-001 uyumu</w:t>
            </w:r>
          </w:p>
        </w:tc>
        <w:tc>
          <w:tcPr>
            <w:tcW w:type="dxa" w:w="52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Süreç, bağımsızlık, kalite kapıları ve değişmez kurallar korunuyor</w:t>
            </w:r>
          </w:p>
        </w:tc>
        <w:tc>
          <w:tcPr>
            <w:tcW w:type="dxa" w:w="233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</w:r>
          </w:p>
        </w:tc>
      </w:tr>
      <w:tr>
        <w:trPr>
          <w:cantSplit w:val="1"/>
        </w:trPr>
        <w:tc>
          <w:tcPr>
            <w:tcW w:type="dxa" w:w="21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Organizasyon</w:t>
            </w:r>
          </w:p>
        </w:tc>
        <w:tc>
          <w:tcPr>
            <w:tcW w:type="dxa" w:w="52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İsim bazlı atama yok; idari/işlevsel hatlar açık</w:t>
            </w:r>
          </w:p>
        </w:tc>
        <w:tc>
          <w:tcPr>
            <w:tcW w:type="dxa" w:w="233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</w:r>
          </w:p>
        </w:tc>
      </w:tr>
      <w:tr>
        <w:trPr>
          <w:cantSplit w:val="1"/>
        </w:trPr>
        <w:tc>
          <w:tcPr>
            <w:tcW w:type="dxa" w:w="21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Hesap verebilirlik</w:t>
            </w:r>
          </w:p>
        </w:tc>
        <w:tc>
          <w:tcPr>
            <w:tcW w:type="dxa" w:w="52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Her ana süreçte tek A ve atanabilir vekil tanımlı</w:t>
            </w:r>
          </w:p>
        </w:tc>
        <w:tc>
          <w:tcPr>
            <w:tcW w:type="dxa" w:w="233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</w:r>
          </w:p>
        </w:tc>
      </w:tr>
      <w:tr>
        <w:trPr>
          <w:cantSplit w:val="1"/>
        </w:trPr>
        <w:tc>
          <w:tcPr>
            <w:tcW w:type="dxa" w:w="21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Bağımsızlık</w:t>
            </w:r>
          </w:p>
        </w:tc>
        <w:tc>
          <w:tcPr>
            <w:tcW w:type="dxa" w:w="52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QA/release, HSE ve audit için üretim/ticari bypass yok</w:t>
            </w:r>
          </w:p>
        </w:tc>
        <w:tc>
          <w:tcPr>
            <w:tcW w:type="dxa" w:w="233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</w:r>
          </w:p>
        </w:tc>
      </w:tr>
      <w:tr>
        <w:trPr>
          <w:cantSplit w:val="1"/>
        </w:trPr>
        <w:tc>
          <w:tcPr>
            <w:tcW w:type="dxa" w:w="21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Görev ayrılığı</w:t>
            </w:r>
          </w:p>
        </w:tc>
        <w:tc>
          <w:tcPr>
            <w:tcW w:type="dxa" w:w="52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Yasak rol birleşimleri ve telafi kontrolleri açık</w:t>
            </w:r>
          </w:p>
        </w:tc>
        <w:tc>
          <w:tcPr>
            <w:tcW w:type="dxa" w:w="233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</w:r>
          </w:p>
        </w:tc>
      </w:tr>
      <w:tr>
        <w:trPr>
          <w:cantSplit w:val="1"/>
        </w:trPr>
        <w:tc>
          <w:tcPr>
            <w:tcW w:type="dxa" w:w="21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DoA/RACI</w:t>
            </w:r>
          </w:p>
        </w:tc>
        <w:tc>
          <w:tcPr>
            <w:tcW w:type="dxa" w:w="52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Karar seviyeleri, veto/stop/HOLD ve eskalasyon belirli</w:t>
            </w:r>
          </w:p>
        </w:tc>
        <w:tc>
          <w:tcPr>
            <w:tcW w:type="dxa" w:w="233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</w:r>
          </w:p>
        </w:tc>
      </w:tr>
      <w:tr>
        <w:trPr>
          <w:cantSplit w:val="1"/>
        </w:trPr>
        <w:tc>
          <w:tcPr>
            <w:tcW w:type="dxa" w:w="21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Yetkinlik/erişim</w:t>
            </w:r>
          </w:p>
        </w:tc>
        <w:tc>
          <w:tcPr>
            <w:tcW w:type="dxa" w:w="52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Atama, eğitim, yetkilendirme ve erişim zinciri tanımlı</w:t>
            </w:r>
          </w:p>
        </w:tc>
        <w:tc>
          <w:tcPr>
            <w:tcW w:type="dxa" w:w="233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</w:r>
          </w:p>
        </w:tc>
      </w:tr>
      <w:tr>
        <w:trPr>
          <w:cantSplit w:val="1"/>
        </w:trPr>
        <w:tc>
          <w:tcPr>
            <w:tcW w:type="dxa" w:w="21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MOC</w:t>
            </w:r>
          </w:p>
        </w:tc>
        <w:tc>
          <w:tcPr>
            <w:tcW w:type="dxa" w:w="52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Rol/raporlama değişikliği kontrollü Organization MOC’ye bağlı</w:t>
            </w:r>
          </w:p>
        </w:tc>
        <w:tc>
          <w:tcPr>
            <w:tcW w:type="dxa" w:w="233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</w:r>
          </w:p>
        </w:tc>
      </w:tr>
      <w:tr>
        <w:trPr>
          <w:cantSplit w:val="1"/>
        </w:trPr>
        <w:tc>
          <w:tcPr>
            <w:tcW w:type="dxa" w:w="21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Kayıt seti</w:t>
            </w:r>
          </w:p>
        </w:tc>
        <w:tc>
          <w:tcPr>
            <w:tcW w:type="dxa" w:w="520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Role Master, Org Chart, RACI, DoA, vekâlet ve competence kayıtları planlı</w:t>
            </w:r>
          </w:p>
        </w:tc>
        <w:tc>
          <w:tcPr>
            <w:tcW w:type="dxa" w:w="2330"/>
            <w:shd w:fill="F2F4F7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</w:r>
          </w:p>
        </w:tc>
      </w:tr>
      <w:tr>
        <w:trPr>
          <w:cantSplit w:val="1"/>
        </w:trPr>
        <w:tc>
          <w:tcPr>
            <w:tcW w:type="dxa" w:w="21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42536"/>
                <w:sz w:val="16"/>
              </w:rPr>
              <w:t>İletişim</w:t>
            </w:r>
          </w:p>
        </w:tc>
        <w:tc>
          <w:tcPr>
            <w:tcW w:type="dxa" w:w="520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  <w:t>Yayın, briefing, devir ve 30/60/90 gün etkinlik review planı hazır</w:t>
            </w:r>
          </w:p>
        </w:tc>
        <w:tc>
          <w:tcPr>
            <w:tcW w:type="dxa" w:w="2330"/>
            <w:shd w:fill="FFFFFF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42536"/>
                <w:sz w:val="16"/>
              </w:rPr>
            </w:r>
          </w:p>
        </w:tc>
      </w:tr>
    </w:tbl>
    <w:p>
      <w:pPr>
        <w:spacing w:after="40"/>
        <w:widowControl w:val="1"/>
      </w:pPr>
    </w:p>
    <w:tbl>
      <w:tblPr>
        <w:tblW w:type="dxa" w:w="957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570"/>
      </w:tblGrid>
      <w:tr>
        <w:trPr>
          <w:cantSplit w:val="1"/>
        </w:trPr>
        <w:tc>
          <w:tcPr>
            <w:tcW w:type="dxa" w:w="9570"/>
            <w:shd w:fill="E8F5F7"/>
            <w:tcBorders>
              <w:top w:val="single" w:sz="5" w:space="0" w:color="C7D7E2"/>
              <w:left w:val="single" w:sz="5" w:space="0" w:color="C7D7E2"/>
              <w:bottom w:val="single" w:sz="5" w:space="0" w:color="C7D7E2"/>
              <w:right w:val="single" w:sz="5" w:space="0" w:color="C7D7E2"/>
              <w:insideH w:val="single" w:sz="5" w:space="0" w:color="C7D7E2"/>
              <w:insideV w:val="single" w:sz="5" w:space="0" w:color="C7D7E2"/>
            </w:tcBorders>
            <w:vAlign w:val="center"/>
            <w:tcMar>
              <w:top w:w="125" w:type="dxa"/>
              <w:bottom w:w="125" w:type="dxa"/>
              <w:start w:w="180" w:type="dxa"/>
              <w:end w:w="18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 w:eastAsia="Arial"/>
                <w:b/>
                <w:color w:val="197B96"/>
                <w:sz w:val="21"/>
              </w:rPr>
              <w:t>Doküman sonu</w:t>
            </w:r>
          </w:p>
          <w:p>
            <w:pPr>
              <w:spacing w:after="0" w:line="269" w:lineRule="auto"/>
            </w:pPr>
            <w:r>
              <w:rPr>
                <w:rFonts w:ascii="Arial" w:hAnsi="Arial" w:eastAsia="Arial"/>
                <w:color w:val="142536"/>
                <w:sz w:val="21"/>
              </w:rPr>
              <w:t>MAPA-CDD-002, yönetim onayı ve uygulama kayıtları tamamlandıktan sonra SARL MAPA ALGÉRIE organizasyon tasarımının kontrollü referansıdır. Sonraki bağlayıcı adım: IMS Manual ve kapsamının bu rol ve süreç mimarisiyle yayınlanmasıdır.</w:t>
            </w:r>
          </w:p>
        </w:tc>
      </w:tr>
    </w:tbl>
    <w:p>
      <w:pPr>
        <w:spacing w:after="20"/>
        <w:widowControl w:val="1"/>
      </w:pPr>
    </w:p>
    <w:sectPr w:rsidR="00FC693F" w:rsidRPr="0006063C" w:rsidSect="00034616">
      <w:headerReference w:type="default" r:id="rId9"/>
      <w:footerReference w:type="default" r:id="rId10"/>
      <w:headerReference w:type="first" r:id="rId12"/>
      <w:footerReference w:type="first" r:id="rId13"/>
      <w:pgSz w:w="11906" w:h="16838"/>
      <w:pgMar w:top="1049" w:right="1049" w:bottom="935" w:left="1049" w:header="397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808" w:val="right"/>
      </w:tabs>
      <w:spacing w:before="80"/>
    </w:pPr>
    <w:r>
      <w:rPr>
        <w:rFonts w:ascii="Arial" w:hAnsi="Arial" w:eastAsia="Arial"/>
        <w:color w:val="667085"/>
        <w:sz w:val="16"/>
      </w:rPr>
      <w:t>Kontrollü doküman • Rev. 0 • 01.08.2026</w:t>
    </w:r>
    <w:r>
      <w:tab/>
    </w:r>
    <w:r>
      <w:rPr>
        <w:rFonts w:ascii="Arial" w:hAnsi="Arial" w:eastAsia="Arial"/>
        <w:b/>
        <w:color w:val="142536"/>
        <w:sz w:val="17"/>
      </w:rPr>
      <w:t>1</w:t>
    </w:r>
    <w:r>
      <w:rPr>
        <w:rFonts w:ascii="Arial" w:hAnsi="Arial" w:eastAsia="Arial"/>
        <w:color w:val="667085"/>
        <w:sz w:val="16"/>
      </w:rPr>
      <w:t xml:space="preserve"> / </w:t>
    </w:r>
    <w:r>
      <w:rPr>
        <w:rFonts w:ascii="Arial" w:hAnsi="Arial" w:eastAsia="Arial"/>
        <w:color w:val="667085"/>
        <w:sz w:val="16"/>
      </w:rPr>
      <w:t>1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08" w:val="right"/>
      </w:tabs>
      <w:spacing w:after="80"/>
      <w:pBdr>
        <w:bottom w:val="single" w:sz="4" w:space="3" w:color="D8E0E7"/>
      </w:pBdr>
    </w:pPr>
    <w:r>
      <w:rPr>
        <w:rFonts w:ascii="Arial" w:hAnsi="Arial" w:eastAsia="Arial"/>
        <w:color w:val="667085"/>
        <w:sz w:val="17"/>
      </w:rPr>
      <w:t>SARL MAPA ALGÉRIE | Corporate Governance Package</w:t>
    </w:r>
    <w:r>
      <w:rPr>
        <w:rFonts w:ascii="Arial" w:hAnsi="Arial" w:eastAsia="Arial"/>
        <w:b/>
        <w:color w:val="667085"/>
        <w:sz w:val="17"/>
      </w:rPr>
      <w:tab/>
      <w:t>MAPA-CDD-002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80" w:line="280" w:lineRule="auto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80" w:line="28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80" w:line="280" w:lineRule="auto"/>
      </w:pPr>
      <w:rPr>
        <w:rFonts w:ascii="Arial" w:hAnsi="Arial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80" w:line="28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80" w:line="280" w:lineRule="auto"/>
      </w:pPr>
      <w:rPr>
        <w:rFonts w:ascii="Arial" w:hAnsi="Arial"/>
      </w:r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80" w:line="280" w:lineRule="auto"/>
      </w:p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80" w:line="280" w:lineRule="auto"/>
      </w:pPr>
      <w:rPr>
        <w:rFonts w:ascii="Arial" w:hAnsi="Arial"/>
      </w:r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80" w:line="280" w:lineRule="auto"/>
      </w:pPr>
    </w:lvl>
  </w:abstract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Arial" w:hAnsi="Arial"/>
      <w:color w:val="1425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97B9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83A5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83A5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E253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RMIXCaption">
    <w:name w:val="KRMIX Caption"/>
    <w:pPr>
      <w:spacing w:before="80" w:after="120"/>
    </w:pPr>
    <w:rPr>
      <w:rFonts w:ascii="Arial" w:hAnsi="Arial"/>
      <w:i/>
      <w:color w:val="66708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MAPA-CDD-002_Organization_Design_Document_R0</dc:title>
  <dc:subject>SARL MAPA ALGÉRIE Integrated Management System - Controlled Draft Rev.0</dc:subject>
  <dc:creator>SARL MAPA ALGÉRIE</dc:creator>
  <cp:keywords>ISO 9001; ISO 14001; ISO 45001; MAPA IMS; controlled document</cp:keywords>
  <dc:description>Reissued as clean Rev.0 under SARL MAPA ALGÉRIE IMS architecture.</dc:description>
  <cp:lastModifiedBy>KRMIX</cp:lastModifiedBy>
  <cp:revision>1</cp:revision>
  <dcterms:created xsi:type="dcterms:W3CDTF">2013-12-23T23:15:00Z</dcterms:created>
  <dcterms:modified xsi:type="dcterms:W3CDTF">2013-12-23T23:15:00Z</dcterms:modified>
  <cp:category/>
</cp:coreProperties>
</file>